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漾濞县202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年重大政策和重点项目</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绩效执行结果情况说明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漾濞县</w:t>
      </w:r>
      <w:r>
        <w:rPr>
          <w:rFonts w:hint="eastAsia" w:ascii="仿宋_GB2312" w:hAnsi="仿宋_GB2312" w:eastAsia="仿宋_GB2312" w:cs="仿宋_GB2312"/>
          <w:color w:val="auto"/>
          <w:sz w:val="32"/>
          <w:szCs w:val="32"/>
        </w:rPr>
        <w:t>坚持稳中求进的工作总基调，更加注重精准、可持续，保证财政支出强度，加快支</w:t>
      </w:r>
      <w:bookmarkStart w:id="0" w:name="_GoBack"/>
      <w:bookmarkEnd w:id="0"/>
      <w:r>
        <w:rPr>
          <w:rFonts w:hint="eastAsia" w:ascii="仿宋_GB2312" w:hAnsi="仿宋_GB2312" w:eastAsia="仿宋_GB2312" w:cs="仿宋_GB2312"/>
          <w:color w:val="auto"/>
          <w:sz w:val="32"/>
          <w:szCs w:val="32"/>
        </w:rPr>
        <w:t>出进度；认真贯彻“以收定支”原则，坚持艰苦奋斗、勤俭节约、精打细算，全面落实党政机关过紧日子要求；加快建立现代财税体制，强化预算约束和绩效管理；加强地方政府债务管理，防范化解隐性债务风险，促进全县经济社会持续健康发展。</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漾濞县六个重点项目分别为：</w:t>
      </w:r>
      <w:r>
        <w:rPr>
          <w:rFonts w:hint="eastAsia" w:ascii="仿宋_GB2312" w:hAnsi="仿宋_GB2312" w:eastAsia="仿宋_GB2312" w:cs="仿宋_GB2312"/>
          <w:sz w:val="32"/>
          <w:szCs w:val="32"/>
        </w:rPr>
        <w:t>县交通局、县住建局两部门整体支出，县发改局下属国有企业粮食风险基金、苍山西镇灾区户间道路维修改造、县民政局困难群众生活救助补助、县住建局城市路灯智慧化改造、县住建局老旧小区改造、国资委国有企业退休人员社会化管理补助资金绩效评价。</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评价结果，民政局困难群众生活救助补助资金及财政国资委国有企业退休人员社会化管理补助资金两个项目为“优秀”，住建局整体支出与县城路灯智慧化改造两个项目绩效评价为“中”，其余4个项目绩效评价为“良”，绩效管理工作取得了一定的成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321" w:firstLineChars="1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完善项目管理制度，增强资金使用效益</w:t>
      </w:r>
    </w:p>
    <w:p>
      <w:pPr>
        <w:pStyle w:val="2"/>
        <w:keepNext w:val="0"/>
        <w:keepLines w:val="0"/>
        <w:pageBreakBefore w:val="0"/>
        <w:widowControl w:val="0"/>
        <w:kinsoku/>
        <w:wordWrap/>
        <w:overflowPunct/>
        <w:topLinePunct w:val="0"/>
        <w:autoSpaceDE/>
        <w:autoSpaceDN/>
        <w:bidi w:val="0"/>
        <w:adjustRightInd/>
        <w:snapToGrid/>
        <w:spacing w:line="360" w:lineRule="auto"/>
        <w:ind w:firstLine="664" w:firstLineChars="200"/>
        <w:textAlignment w:val="auto"/>
        <w:rPr>
          <w:rFonts w:hint="eastAsia" w:ascii="仿宋_GB2312" w:hAnsi="仿宋_GB2312" w:eastAsia="仿宋_GB2312" w:cs="仿宋_GB2312"/>
          <w:snapToGrid w:val="0"/>
          <w:spacing w:val="6"/>
          <w:sz w:val="32"/>
          <w:szCs w:val="32"/>
          <w:lang w:eastAsia="zh-CN"/>
        </w:rPr>
      </w:pPr>
      <w:r>
        <w:rPr>
          <w:rFonts w:hint="eastAsia" w:ascii="仿宋_GB2312" w:hAnsi="仿宋_GB2312" w:eastAsia="仿宋_GB2312" w:cs="仿宋_GB2312"/>
          <w:snapToGrid w:val="0"/>
          <w:spacing w:val="6"/>
          <w:sz w:val="32"/>
          <w:szCs w:val="32"/>
          <w:lang w:eastAsia="zh-CN"/>
        </w:rPr>
        <w:t>一是建议项目实施单位与财务做好衔接工作，财务积极引导各乡镇合理使用补助资金，同时及时下拨补助资金。二是定期或不定期对项目进行监督检查，对于在检查中发现的问题，应及时了解原因，并给予指导，必要时提供解决方案，确保资金合理、合规、及时支出。三是建议除采购项目所需必须物资外，结合其他相关项目资金共同使用，提高资金使用效益，如结合相关活动资金开展丰富多彩的文体健身、健康教育活动等，丰富退休人员在当地的业余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增强绩效管理意识，合理设置绩效目标和绩效指标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30"/>
          <w:sz w:val="32"/>
          <w:szCs w:val="32"/>
        </w:rPr>
        <w:t>一是加强预算绩效目标管理，编制完善的年度绩效目标。项目年度绩效目标应根据项目的年度重点工作进行设置，与项目实施内容相关，全面反映项目的预期产出和效益。提高绩效目标编制人员水平，对编制绩效目标的人员进行培训，明确编制绩效目标审核的要求，并提供绩效目标编制模板，加深编制人员对绩效目标的理解，掌握编制方法，规范填写绩效目标、绩效指标、指标值、度量单位、指标类型等，切实提高绩效目标编制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30"/>
          <w:sz w:val="32"/>
          <w:szCs w:val="32"/>
        </w:rPr>
        <w:t>二是编制完整、量化可考核的绩效指标。根据编制的绩效目标梳理绩效指标，对绩效目标进行细化、分解，全面完整反映绩效目标；规范绩效指标的填写，严格按照绩效指标编制的相关要求，正确编制绩效指标名称、指标值、度量单位等，同时明确绩效指标值，具有考核性、可衡量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30"/>
          <w:sz w:val="32"/>
          <w:szCs w:val="32"/>
        </w:rPr>
        <w:t>三是预算部门应建立绩效自评机制，按照《项目支出绩效评价管理办法》（财预〔2020〕10 号）对项目支出进行绩效自评，提交绩效自评报告或自检自查报告。</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强化管理，积极开展文化体育活动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30"/>
          <w:sz w:val="32"/>
          <w:szCs w:val="32"/>
        </w:rPr>
      </w:pPr>
      <w:r>
        <w:rPr>
          <w:rFonts w:hint="eastAsia" w:ascii="仿宋_GB2312" w:hAnsi="仿宋_GB2312" w:eastAsia="仿宋_GB2312" w:cs="仿宋_GB2312"/>
          <w:kern w:val="30"/>
          <w:sz w:val="32"/>
          <w:szCs w:val="32"/>
        </w:rPr>
        <w:t>切实加强对退休人员工作的领导，关心和照顾好退休人员，完善退休人员管理相关组织和制度建设，将退休人员社会化管理落到实处；组织开展丰富多彩、有益于退休人员身心健康的文化体育活动，为退休人员搭建起一个展示个人风采的平台，丰富退休人员的精神文化生活，促进退休人员的身心健康。</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bCs/>
          <w:kern w:val="30"/>
          <w:sz w:val="32"/>
          <w:szCs w:val="32"/>
          <w:lang w:eastAsia="zh-CN"/>
        </w:rPr>
      </w:pPr>
      <w:r>
        <w:rPr>
          <w:rFonts w:hint="eastAsia" w:ascii="黑体" w:hAnsi="黑体" w:eastAsia="黑体" w:cs="黑体"/>
          <w:b/>
          <w:bCs/>
          <w:kern w:val="30"/>
          <w:sz w:val="32"/>
          <w:szCs w:val="32"/>
          <w:lang w:eastAsia="zh-CN"/>
        </w:rPr>
        <w:t>四、重点工作</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聚力财政收入“量”和“质”，夯实县域经济发展基础。一是全面联动组织收入。按照全年财政收支目标任务，加强财税部门协调配合，坚持依法征收、应收尽收。二是加快推进资源资产盘活。进一步加大国有资产的盘活力度，加快资产出租出售工作，使“资产”变“资本”，尤其是加快历史遗留“非煤矿山”砂石土料及其他国有闲置资产销售和处置，增加财政收入。三是全力抓好项目建设。根据财力情况，量力而行、尽力而为推进重点项目建设，扶持“生财之源”。四是积极向上争取资金。把握上级政策，根据当地实际情况谋划项目，加大向上争取资金力度，全力缓解财政平衡压力。</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（二）聚力民生保障，优化支出结构。</w:t>
      </w: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兜牢兜实“三保”支出</w:t>
      </w:r>
      <w:r>
        <w:rPr>
          <w:rFonts w:hint="eastAsia" w:ascii="仿宋_GB2312" w:hAnsi="仿宋_GB2312" w:eastAsia="仿宋_GB2312" w:cs="仿宋_GB2312"/>
          <w:color w:val="auto"/>
          <w:sz w:val="32"/>
          <w:szCs w:val="32"/>
        </w:rPr>
        <w:t>底线，突出重点，严格保障顺序，合理安排20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年预算，落实优先确保工资发放的基本要求，</w:t>
      </w:r>
      <w:r>
        <w:rPr>
          <w:rFonts w:hint="eastAsia" w:ascii="仿宋_GB2312" w:hAnsi="仿宋_GB2312" w:eastAsia="仿宋_GB2312" w:cs="仿宋_GB2312"/>
          <w:color w:val="auto"/>
          <w:sz w:val="32"/>
          <w:szCs w:val="32"/>
          <w:lang w:eastAsia="zh-CN"/>
        </w:rPr>
        <w:t>确保民生保障需求</w:t>
      </w:r>
      <w:r>
        <w:rPr>
          <w:rFonts w:hint="eastAsia" w:ascii="仿宋_GB2312" w:hAnsi="仿宋_GB2312" w:eastAsia="仿宋_GB2312" w:cs="仿宋_GB2312"/>
          <w:color w:val="auto"/>
          <w:sz w:val="32"/>
          <w:szCs w:val="32"/>
        </w:rPr>
        <w:t>。二是做好资金调度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围绕人民群众基本公共服务需求，持续加大民生方面投入，</w:t>
      </w:r>
      <w:r>
        <w:rPr>
          <w:rFonts w:hint="eastAsia" w:ascii="仿宋_GB2312" w:hAnsi="仿宋_GB2312" w:eastAsia="仿宋_GB2312" w:cs="仿宋_GB2312"/>
          <w:color w:val="auto"/>
          <w:sz w:val="32"/>
          <w:szCs w:val="32"/>
          <w:lang w:eastAsia="zh-CN"/>
        </w:rPr>
        <w:t>全力支持教育、科技、文化、旅游、社会保障、医疗卫生等领域重点项目建设，巩固提升脱贫成果，积极实施乡村振兴战略，推进农村进步、农民发展。</w:t>
      </w:r>
      <w:r>
        <w:rPr>
          <w:rFonts w:hint="eastAsia" w:ascii="仿宋_GB2312" w:hAnsi="仿宋_GB2312" w:eastAsia="仿宋_GB2312" w:cs="仿宋_GB2312"/>
          <w:color w:val="auto"/>
          <w:sz w:val="32"/>
          <w:szCs w:val="32"/>
          <w:lang w:val="en-US" w:eastAsia="zh-CN"/>
        </w:rPr>
        <w:t>三是构建过紧日子长效机制。从严从紧编制预算，大力压减非刚性、非重点支出，严控一般支出，削减和取消低效无效支出。同时及时清理和收回结余资金，不让资金趴在账上“睡觉”。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聚力深化改革，构建现代财政制度。一是全面实施预算绩效管理。坚持“花钱必问效、无效必问责”，对拨出去的钱，跟踪到底、问效到底，推动形成事前、事中、事后绩效管理闭环。二是加大财会监督力度。全面推进财政资金监管“清源行动”，把财政资金监管上升为全面从严治党的重要内容，坚持依法理财，严肃财经纪律，加强对财经领域公权力行使的制约和监督，严厉打击会计违法违规行为。三是抓常抓实财政资金直达机制。根据跟踪预算下达过程，督促合理有序加快支出进度，加快资金拨付，并形成实物工作量，同时针对风险隐患问题，通过监测预警未雨绸缪，实施分类监管。</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320" w:firstLineChars="1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（四）聚力风险防范，强化库款资金管理。一是加强资金统筹使用，确保财政收支平稳运行。</w:t>
      </w:r>
      <w:r>
        <w:rPr>
          <w:rFonts w:hint="eastAsia" w:ascii="仿宋_GB2312" w:hAnsi="仿宋_GB2312" w:eastAsia="仿宋_GB2312" w:cs="仿宋_GB2312"/>
          <w:color w:val="auto"/>
          <w:sz w:val="32"/>
          <w:szCs w:val="32"/>
        </w:rPr>
        <w:t>坚持“先有预算，后有支出”严格执行同级人大批准后的预算，硬化预算约束，强化预算执行管理，严格控制无财力、无预算安排资金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是加强专项债券项目和资金使用管理。加强专项债券项目审核，确保项目合法合规、符合发行条件。健全专项债券项目协调机制，充分发挥行业主管部门在项目前期工作和后期运营管理方面的积极作用，共同管好用好专项债券资金。三是强化隐性债务管理。全面厘清隐形债务的结构、规模、资金来源及风险状况，推动隐性债务“显现化”；坚决遏制隐性债务增量，严格控制债务规模；积极稳妥化解存量隐性债务。四是</w:t>
      </w:r>
      <w:r>
        <w:rPr>
          <w:rFonts w:hint="eastAsia" w:ascii="仿宋_GB2312" w:hAnsi="仿宋_GB2312" w:eastAsia="仿宋_GB2312" w:cs="仿宋_GB2312"/>
          <w:color w:val="auto"/>
          <w:sz w:val="32"/>
          <w:szCs w:val="32"/>
        </w:rPr>
        <w:t>全面开展财政借垫款清理工作，摸清财政借垫款底数。结合实际制定年度消化方案，明确年度消化任务、消化方式和资金来源，争取用5年左右的时间将20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年底以前形成的财政借垫款消化完。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30"/>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p>
      <w:pPr>
        <w:pStyle w:val="4"/>
        <w:spacing w:line="600" w:lineRule="exact"/>
        <w:ind w:firstLine="640" w:firstLineChars="200"/>
        <w:rPr>
          <w:rFonts w:hint="eastAsia" w:ascii="方正仿宋简体" w:eastAsia="方正仿宋简体"/>
          <w:sz w:val="32"/>
          <w:szCs w:val="32"/>
          <w:lang w:eastAsia="zh-CN"/>
        </w:rPr>
      </w:pPr>
    </w:p>
    <w:p>
      <w:pPr>
        <w:jc w:val="both"/>
        <w:rPr>
          <w:rFonts w:hint="eastAsia" w:ascii="方正黑体_GBK" w:hAnsi="方正黑体_GBK" w:eastAsia="方正黑体_GBK" w:cs="方正黑体_GBK"/>
          <w:sz w:val="44"/>
          <w:szCs w:val="44"/>
        </w:rPr>
      </w:pPr>
    </w:p>
    <w:p>
      <w:pPr>
        <w:jc w:val="left"/>
        <w:rPr>
          <w:rFonts w:ascii="方正小标宋简体" w:hAnsi="方正小标宋简体" w:eastAsia="方正小标宋简体" w:cs="方正小标宋简体"/>
          <w:sz w:val="44"/>
          <w:szCs w:val="44"/>
          <w:highlight w:val="yellow"/>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80F3C52" w:usb2="00000016" w:usb3="00000000" w:csb0="0004001F" w:csb1="00000000"/>
  </w:font>
  <w:font w:name="方正黑体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3062C9"/>
    <w:multiLevelType w:val="singleLevel"/>
    <w:tmpl w:val="B23062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42B6"/>
    <w:rsid w:val="00021689"/>
    <w:rsid w:val="0006363A"/>
    <w:rsid w:val="0021664A"/>
    <w:rsid w:val="00363D5D"/>
    <w:rsid w:val="003B2EE4"/>
    <w:rsid w:val="004D0925"/>
    <w:rsid w:val="00790EC0"/>
    <w:rsid w:val="007A5298"/>
    <w:rsid w:val="0099106B"/>
    <w:rsid w:val="00D25262"/>
    <w:rsid w:val="00EE42B6"/>
    <w:rsid w:val="00EF7D29"/>
    <w:rsid w:val="03DC3A29"/>
    <w:rsid w:val="0AD947C2"/>
    <w:rsid w:val="266F5319"/>
    <w:rsid w:val="2D207CEB"/>
    <w:rsid w:val="4A6C1E94"/>
    <w:rsid w:val="4E017FBB"/>
    <w:rsid w:val="57853F4C"/>
    <w:rsid w:val="5AD53302"/>
    <w:rsid w:val="61DE600D"/>
    <w:rsid w:val="678E0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1"/>
    <w:qFormat/>
    <w:uiPriority w:val="0"/>
    <w:pPr>
      <w:spacing w:after="120"/>
    </w:pPr>
    <w:rPr>
      <w:rFonts w:ascii="Times New Roman" w:hAnsi="Times New Roman" w:eastAsia="宋体" w:cs="Times New Roman"/>
    </w:rPr>
  </w:style>
  <w:style w:type="paragraph" w:styleId="3">
    <w:name w:val="toc 5"/>
    <w:basedOn w:val="1"/>
    <w:next w:val="1"/>
    <w:semiHidden/>
    <w:unhideWhenUsed/>
    <w:qFormat/>
    <w:uiPriority w:val="39"/>
    <w:pPr>
      <w:ind w:left="1680" w:leftChars="800"/>
    </w:pPr>
  </w:style>
  <w:style w:type="paragraph" w:styleId="4">
    <w:name w:val="Plain Text"/>
    <w:basedOn w:val="1"/>
    <w:link w:val="12"/>
    <w:qFormat/>
    <w:uiPriority w:val="0"/>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100" w:beforeAutospacing="1" w:after="100" w:afterAutospacing="1"/>
    </w:pPr>
    <w:rPr>
      <w:rFonts w:ascii="宋体" w:hAnsi="宋体" w:eastAsia="宋体" w:cs="宋体"/>
      <w:sz w:val="24"/>
    </w:rPr>
  </w:style>
  <w:style w:type="character" w:styleId="10">
    <w:name w:val="Strong"/>
    <w:basedOn w:val="9"/>
    <w:qFormat/>
    <w:uiPriority w:val="22"/>
    <w:rPr>
      <w:b/>
      <w:bCs/>
    </w:rPr>
  </w:style>
  <w:style w:type="character" w:customStyle="1" w:styleId="11">
    <w:name w:val="正文文本 Char"/>
    <w:basedOn w:val="9"/>
    <w:link w:val="2"/>
    <w:qFormat/>
    <w:uiPriority w:val="0"/>
    <w:rPr>
      <w:rFonts w:ascii="Times New Roman" w:hAnsi="Times New Roman" w:eastAsia="宋体" w:cs="Times New Roman"/>
      <w:kern w:val="2"/>
      <w:sz w:val="21"/>
      <w:szCs w:val="24"/>
    </w:rPr>
  </w:style>
  <w:style w:type="character" w:customStyle="1" w:styleId="12">
    <w:name w:val="纯文本 Char"/>
    <w:basedOn w:val="9"/>
    <w:link w:val="4"/>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1688</Words>
  <Characters>127</Characters>
  <Lines>1</Lines>
  <Paragraphs>3</Paragraphs>
  <TotalTime>3</TotalTime>
  <ScaleCrop>false</ScaleCrop>
  <LinksUpToDate>false</LinksUpToDate>
  <CharactersWithSpaces>1812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2022-08-03T02:24:00Z</dcterms:created>
  <dc:creator>Administrator</dc:creator>
  <cp:lastModifiedBy>Administrator</cp:lastModifiedBy>
  <dcterms:modified xsi:type="dcterms:W3CDTF">2023-08-11T06:45:38Z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