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ind w:firstLine="1760" w:firstLineChars="4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漾濞县</w:t>
      </w:r>
      <w:r>
        <w:rPr>
          <w:rFonts w:hint="eastAsia" w:ascii="方正小标宋简体" w:hAnsi="方正小标宋简体" w:eastAsia="方正小标宋简体" w:cs="方正小标宋简体"/>
          <w:sz w:val="44"/>
          <w:szCs w:val="44"/>
          <w:lang w:val="en-US" w:eastAsia="zh-CN"/>
        </w:rPr>
        <w:t>2022年财政拨款</w:t>
      </w:r>
    </w:p>
    <w:p>
      <w:pPr>
        <w:spacing w:line="600" w:lineRule="exact"/>
        <w:ind w:firstLine="880" w:firstLineChars="2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“三公”经费决算情况</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说明</w:t>
      </w:r>
    </w:p>
    <w:p>
      <w:pPr>
        <w:spacing w:line="600" w:lineRule="exact"/>
        <w:ind w:firstLine="600" w:firstLineChars="200"/>
        <w:jc w:val="center"/>
        <w:rPr>
          <w:rFonts w:ascii="Times New Roman" w:hAnsi="Times New Roman" w:eastAsia="仿宋_GB2312"/>
          <w:sz w:val="30"/>
          <w:szCs w:val="30"/>
        </w:rPr>
      </w:pPr>
    </w:p>
    <w:p>
      <w:pPr>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根据国务院关于推进政府预算信息公开的决策部署和漾濞县政府工作安排，经漾濞县财政局汇总，漾濞县人民政府审定，现将漾濞县</w:t>
      </w:r>
      <w:r>
        <w:rPr>
          <w:rFonts w:hint="eastAsia" w:ascii="Times New Roman" w:hAnsi="Times New Roman" w:eastAsia="仿宋_GB2312"/>
          <w:sz w:val="30"/>
          <w:szCs w:val="30"/>
          <w:lang w:val="en-US" w:eastAsia="zh-CN"/>
        </w:rPr>
        <w:t>2022</w:t>
      </w:r>
      <w:r>
        <w:rPr>
          <w:rFonts w:ascii="Times New Roman" w:hAnsi="Times New Roman" w:eastAsia="仿宋_GB2312"/>
          <w:sz w:val="30"/>
          <w:szCs w:val="30"/>
        </w:rPr>
        <w:t>年“三公”经费决算情况公开如下：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年全县“三公”经</w:t>
      </w:r>
      <w:r>
        <w:rPr>
          <w:rFonts w:hint="default" w:ascii="Times New Roman" w:hAnsi="Times New Roman" w:eastAsia="仿宋_GB2312" w:cs="Times New Roman"/>
          <w:sz w:val="32"/>
          <w:szCs w:val="32"/>
        </w:rPr>
        <w:t>费支出</w:t>
      </w:r>
      <w:r>
        <w:rPr>
          <w:rFonts w:hint="default" w:ascii="Times New Roman" w:hAnsi="Times New Roman" w:eastAsia="仿宋_GB2312" w:cs="Times New Roman"/>
          <w:sz w:val="32"/>
          <w:szCs w:val="32"/>
          <w:lang w:val="en-US" w:eastAsia="zh-CN"/>
        </w:rPr>
        <w:t>685.05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是年初预算数</w:t>
      </w:r>
      <w:r>
        <w:rPr>
          <w:rFonts w:hint="eastAsia" w:ascii="Times New Roman" w:hAnsi="Times New Roman" w:eastAsia="仿宋_GB2312" w:cs="Times New Roman"/>
          <w:sz w:val="32"/>
          <w:szCs w:val="32"/>
          <w:lang w:val="en-US" w:eastAsia="zh-CN"/>
        </w:rPr>
        <w:t>1047.83万元的65.38%，比2022年年初预算数减少34.62%。与上年相比，</w:t>
      </w:r>
      <w:r>
        <w:rPr>
          <w:rFonts w:hint="default" w:ascii="Times New Roman" w:hAnsi="Times New Roman" w:eastAsia="仿宋_GB2312" w:cs="Times New Roman"/>
          <w:sz w:val="32"/>
          <w:szCs w:val="32"/>
        </w:rPr>
        <w:t>同比</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186.03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下降</w:t>
      </w:r>
      <w:r>
        <w:rPr>
          <w:rFonts w:hint="default" w:ascii="Times New Roman" w:hAnsi="Times New Roman" w:eastAsia="仿宋_GB2312" w:cs="Times New Roman"/>
          <w:sz w:val="32"/>
          <w:szCs w:val="32"/>
          <w:lang w:val="en-US" w:eastAsia="zh-CN"/>
        </w:rPr>
        <w:t>21.36</w:t>
      </w:r>
      <w:r>
        <w:rPr>
          <w:rFonts w:hint="default" w:ascii="Times New Roman" w:hAnsi="Times New Roman" w:eastAsia="仿宋_GB2312" w:cs="Times New Roman"/>
          <w:sz w:val="32"/>
          <w:szCs w:val="32"/>
        </w:rPr>
        <w:t>%。其中：因公出国（境）本年支出</w:t>
      </w:r>
      <w:r>
        <w:rPr>
          <w:rFonts w:hint="eastAsia" w:ascii="Times New Roman" w:hAnsi="Times New Roman" w:eastAsia="仿宋_GB2312" w:cs="Times New Roman"/>
          <w:sz w:val="32"/>
          <w:szCs w:val="32"/>
          <w:lang w:eastAsia="zh-CN"/>
        </w:rPr>
        <w:t>年初预算数</w:t>
      </w:r>
      <w:r>
        <w:rPr>
          <w:rFonts w:hint="default" w:ascii="Times New Roman" w:hAnsi="Times New Roman" w:eastAsia="仿宋_GB2312" w:cs="Times New Roman"/>
          <w:sz w:val="32"/>
          <w:szCs w:val="32"/>
        </w:rPr>
        <w:t>为0万元，</w:t>
      </w:r>
      <w:r>
        <w:rPr>
          <w:rFonts w:hint="eastAsia" w:ascii="Times New Roman" w:hAnsi="Times New Roman" w:eastAsia="仿宋_GB2312" w:cs="Times New Roman"/>
          <w:sz w:val="32"/>
          <w:szCs w:val="32"/>
          <w:lang w:eastAsia="zh-CN"/>
        </w:rPr>
        <w:t>支出</w:t>
      </w:r>
      <w:r>
        <w:rPr>
          <w:rFonts w:hint="eastAsia" w:ascii="Times New Roman" w:hAnsi="Times New Roman" w:eastAsia="仿宋_GB2312" w:cs="Times New Roman"/>
          <w:sz w:val="32"/>
          <w:szCs w:val="32"/>
          <w:lang w:val="en-US" w:eastAsia="zh-CN"/>
        </w:rPr>
        <w:t>0万元，</w:t>
      </w:r>
      <w:r>
        <w:rPr>
          <w:rFonts w:hint="default" w:ascii="Times New Roman" w:hAnsi="Times New Roman" w:eastAsia="仿宋_GB2312" w:cs="Times New Roman"/>
          <w:sz w:val="32"/>
          <w:szCs w:val="32"/>
          <w:lang w:eastAsia="zh-CN"/>
        </w:rPr>
        <w:t>与上年一致，无增减变动；</w:t>
      </w:r>
      <w:r>
        <w:rPr>
          <w:rFonts w:hint="default" w:ascii="Times New Roman" w:hAnsi="Times New Roman" w:eastAsia="仿宋_GB2312" w:cs="Times New Roman"/>
          <w:sz w:val="32"/>
          <w:szCs w:val="32"/>
        </w:rPr>
        <w:t>公务用车购置费</w:t>
      </w:r>
      <w:r>
        <w:rPr>
          <w:rFonts w:hint="eastAsia" w:ascii="Times New Roman" w:hAnsi="Times New Roman" w:eastAsia="仿宋_GB2312" w:cs="Times New Roman"/>
          <w:sz w:val="32"/>
          <w:szCs w:val="32"/>
          <w:lang w:eastAsia="zh-CN"/>
        </w:rPr>
        <w:t>年初预算数为</w:t>
      </w:r>
      <w:r>
        <w:rPr>
          <w:rFonts w:hint="eastAsia" w:ascii="Times New Roman" w:hAnsi="Times New Roman" w:eastAsia="仿宋_GB2312" w:cs="Times New Roman"/>
          <w:sz w:val="32"/>
          <w:szCs w:val="32"/>
          <w:lang w:val="en-US" w:eastAsia="zh-CN"/>
        </w:rPr>
        <w:t>118.00万元，支出</w:t>
      </w:r>
      <w:r>
        <w:rPr>
          <w:rFonts w:hint="default" w:ascii="Times New Roman" w:hAnsi="Times New Roman" w:eastAsia="仿宋_GB2312" w:cs="Times New Roman"/>
          <w:sz w:val="32"/>
          <w:szCs w:val="32"/>
          <w:lang w:val="en-US" w:eastAsia="zh-CN"/>
        </w:rPr>
        <w:t>117.97</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是年初预算数的</w:t>
      </w:r>
      <w:r>
        <w:rPr>
          <w:rFonts w:hint="eastAsia" w:ascii="Times New Roman" w:hAnsi="Times New Roman" w:eastAsia="仿宋_GB2312" w:cs="Times New Roman"/>
          <w:sz w:val="32"/>
          <w:szCs w:val="32"/>
          <w:lang w:val="en-US" w:eastAsia="zh-CN"/>
        </w:rPr>
        <w:t>99.98%，比2022年年初预算数减少0.03%，与上年相比，</w:t>
      </w:r>
      <w:r>
        <w:rPr>
          <w:rFonts w:hint="default" w:ascii="Times New Roman" w:hAnsi="Times New Roman" w:eastAsia="仿宋_GB2312" w:cs="Times New Roman"/>
          <w:sz w:val="32"/>
          <w:szCs w:val="32"/>
        </w:rPr>
        <w:t>同比</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47.36</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67.07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公务用车运行维护费</w:t>
      </w:r>
      <w:r>
        <w:rPr>
          <w:rFonts w:hint="eastAsia" w:ascii="Times New Roman" w:hAnsi="Times New Roman" w:eastAsia="仿宋_GB2312" w:cs="Times New Roman"/>
          <w:sz w:val="32"/>
          <w:szCs w:val="32"/>
          <w:lang w:eastAsia="zh-CN"/>
        </w:rPr>
        <w:t>年初预算数</w:t>
      </w:r>
      <w:r>
        <w:rPr>
          <w:rFonts w:hint="eastAsia" w:ascii="Times New Roman" w:hAnsi="Times New Roman" w:eastAsia="仿宋_GB2312" w:cs="Times New Roman"/>
          <w:sz w:val="32"/>
          <w:szCs w:val="32"/>
          <w:lang w:val="en-US" w:eastAsia="zh-CN"/>
        </w:rPr>
        <w:t>589.24万元，支出</w:t>
      </w:r>
      <w:r>
        <w:rPr>
          <w:rFonts w:hint="default" w:ascii="Times New Roman" w:hAnsi="Times New Roman" w:eastAsia="仿宋_GB2312" w:cs="Times New Roman"/>
          <w:sz w:val="32"/>
          <w:szCs w:val="32"/>
          <w:lang w:val="en-US" w:eastAsia="zh-CN"/>
        </w:rPr>
        <w:t>443.41</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是年初预算数的</w:t>
      </w:r>
      <w:r>
        <w:rPr>
          <w:rFonts w:hint="eastAsia" w:ascii="Times New Roman" w:hAnsi="Times New Roman" w:eastAsia="仿宋_GB2312" w:cs="Times New Roman"/>
          <w:sz w:val="32"/>
          <w:szCs w:val="32"/>
          <w:lang w:val="en-US" w:eastAsia="zh-CN"/>
        </w:rPr>
        <w:t>75.25%，比2022年年初预算数减少24.47%，与上年相比，</w:t>
      </w:r>
      <w:r>
        <w:rPr>
          <w:rFonts w:hint="default" w:ascii="Times New Roman" w:hAnsi="Times New Roman" w:eastAsia="仿宋_GB2312" w:cs="Times New Roman"/>
          <w:sz w:val="32"/>
          <w:szCs w:val="32"/>
        </w:rPr>
        <w:t>同比</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23.92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5.70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年初预算数</w:t>
      </w:r>
      <w:r>
        <w:rPr>
          <w:rFonts w:hint="eastAsia" w:ascii="Times New Roman" w:hAnsi="Times New Roman" w:eastAsia="仿宋_GB2312" w:cs="Times New Roman"/>
          <w:sz w:val="32"/>
          <w:szCs w:val="32"/>
          <w:lang w:val="en-US" w:eastAsia="zh-CN"/>
        </w:rPr>
        <w:t>340.59万元，支出</w:t>
      </w:r>
      <w:r>
        <w:rPr>
          <w:rFonts w:hint="default" w:ascii="Times New Roman" w:hAnsi="Times New Roman" w:eastAsia="仿宋_GB2312" w:cs="Times New Roman"/>
          <w:sz w:val="32"/>
          <w:szCs w:val="32"/>
          <w:lang w:val="en-US" w:eastAsia="zh-CN"/>
        </w:rPr>
        <w:t>123.68</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是年初预算数的</w:t>
      </w:r>
      <w:r>
        <w:rPr>
          <w:rFonts w:hint="eastAsia" w:ascii="Times New Roman" w:hAnsi="Times New Roman" w:eastAsia="仿宋_GB2312" w:cs="Times New Roman"/>
          <w:sz w:val="32"/>
          <w:szCs w:val="32"/>
          <w:lang w:val="en-US" w:eastAsia="zh-CN"/>
        </w:rPr>
        <w:t>36.31%，比2022年年初预算数减少63.7%，与上年相比</w:t>
      </w:r>
      <w:r>
        <w:rPr>
          <w:rFonts w:hint="default" w:ascii="Times New Roman" w:hAnsi="Times New Roman" w:eastAsia="仿宋_GB2312" w:cs="Times New Roman"/>
          <w:sz w:val="32"/>
          <w:szCs w:val="32"/>
        </w:rPr>
        <w:t>同比</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258.04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下降</w:t>
      </w:r>
      <w:r>
        <w:rPr>
          <w:rFonts w:hint="default" w:ascii="Times New Roman" w:hAnsi="Times New Roman" w:eastAsia="仿宋_GB2312" w:cs="Times New Roman"/>
          <w:sz w:val="32"/>
          <w:szCs w:val="32"/>
          <w:lang w:val="en-US" w:eastAsia="zh-CN"/>
        </w:rPr>
        <w:t>67.60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三公经费</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上年度对比</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rPr>
        <w:t>的主要原因是</w:t>
      </w:r>
      <w:r>
        <w:rPr>
          <w:rFonts w:hint="default" w:ascii="Times New Roman" w:hAnsi="Times New Roman" w:eastAsia="仿宋_GB2312" w:cs="Times New Roman"/>
          <w:sz w:val="32"/>
          <w:szCs w:val="32"/>
          <w:lang w:eastAsia="zh-CN"/>
        </w:rPr>
        <w:t>漾濞县坚持党政机关过紧日子思想，要求行政事业单位厉行勤俭节约，加强“三公”经费管理，</w:t>
      </w:r>
      <w:r>
        <w:rPr>
          <w:rFonts w:hint="default" w:ascii="Times New Roman" w:hAnsi="Times New Roman" w:eastAsia="仿宋_GB2312" w:cs="Times New Roman"/>
          <w:sz w:val="32"/>
          <w:szCs w:val="32"/>
        </w:rPr>
        <w:t>严格落实中央八项规定精神，制定三公经费预算，严格按照预算，减少三公经费开支。漾濞县20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年无因公出国费用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（1）公务用车购置数量共</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辆，包括</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漾濞彝族自治县人民政府办公室购入</w:t>
      </w:r>
      <w:r>
        <w:rPr>
          <w:rFonts w:hint="default" w:ascii="Times New Roman" w:hAnsi="Times New Roman" w:eastAsia="仿宋_GB2312" w:cs="Times New Roman"/>
          <w:sz w:val="32"/>
          <w:szCs w:val="32"/>
          <w:highlight w:val="none"/>
          <w:lang w:eastAsia="zh-CN"/>
        </w:rPr>
        <w:t>一辆</w:t>
      </w:r>
      <w:r>
        <w:rPr>
          <w:rFonts w:hint="default" w:ascii="Times New Roman" w:hAnsi="Times New Roman" w:eastAsia="仿宋_GB2312" w:cs="Times New Roman"/>
          <w:sz w:val="32"/>
          <w:szCs w:val="32"/>
          <w:highlight w:val="none"/>
          <w:lang w:val="en-US" w:eastAsia="zh-CN"/>
        </w:rPr>
        <w:t>公务用车</w:t>
      </w:r>
      <w:r>
        <w:rPr>
          <w:rFonts w:hint="default" w:ascii="Times New Roman" w:hAnsi="Times New Roman" w:eastAsia="仿宋_GB2312" w:cs="Times New Roman"/>
          <w:sz w:val="32"/>
          <w:szCs w:val="32"/>
          <w:highlight w:val="none"/>
        </w:rPr>
        <w:t>价值</w:t>
      </w:r>
      <w:r>
        <w:rPr>
          <w:rFonts w:hint="default" w:ascii="Times New Roman" w:hAnsi="Times New Roman" w:eastAsia="仿宋_GB2312" w:cs="Times New Roman"/>
          <w:sz w:val="32"/>
          <w:szCs w:val="32"/>
          <w:highlight w:val="none"/>
          <w:lang w:val="en-US" w:eastAsia="zh-CN"/>
        </w:rPr>
        <w:t>17.98万</w:t>
      </w:r>
      <w:r>
        <w:rPr>
          <w:rFonts w:hint="default" w:ascii="Times New Roman" w:hAnsi="Times New Roman" w:eastAsia="仿宋_GB2312" w:cs="Times New Roman"/>
          <w:sz w:val="32"/>
          <w:szCs w:val="32"/>
          <w:highlight w:val="none"/>
        </w:rPr>
        <w:t>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云南省漾濞彝族自治县公安局交通警察大队购入一辆公务用车价值20.18万元。中国共产党漾濞县委员会办公室购入一辆公务用车价值24.88万元。漾濞彝族自治县疾病预防控制中心购入一辆疫苗冷链车价值30.35万元。漾濞彝族自治县农业农村局（本级）购入一辆公务用车价值24.58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（2）公务用车运行维护费：运行维护费较高的原因一是部分单位的公务用车使用年限较长造成维修费用增加</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车辆油耗偏高；二是</w:t>
      </w:r>
      <w:r>
        <w:rPr>
          <w:rFonts w:hint="default" w:ascii="Times New Roman" w:hAnsi="Times New Roman" w:eastAsia="仿宋_GB2312" w:cs="Times New Roman"/>
          <w:sz w:val="32"/>
          <w:szCs w:val="32"/>
          <w:highlight w:val="none"/>
          <w:lang w:eastAsia="zh-CN"/>
        </w:rPr>
        <w:t>因</w:t>
      </w:r>
      <w:r>
        <w:rPr>
          <w:rFonts w:hint="default" w:ascii="Times New Roman" w:hAnsi="Times New Roman" w:eastAsia="仿宋_GB2312" w:cs="Times New Roman"/>
          <w:sz w:val="32"/>
          <w:szCs w:val="32"/>
          <w:highlight w:val="none"/>
          <w:lang w:val="en-US" w:eastAsia="zh-CN"/>
        </w:rPr>
        <w:t>2022</w:t>
      </w:r>
      <w:r>
        <w:rPr>
          <w:rFonts w:hint="default" w:ascii="Times New Roman" w:hAnsi="Times New Roman" w:eastAsia="仿宋_GB2312" w:cs="Times New Roman"/>
          <w:sz w:val="32"/>
          <w:szCs w:val="32"/>
          <w:highlight w:val="none"/>
          <w:lang w:eastAsia="zh-CN"/>
        </w:rPr>
        <w:t>年</w:t>
      </w:r>
      <w:r>
        <w:rPr>
          <w:rFonts w:hint="default" w:ascii="Times New Roman" w:hAnsi="Times New Roman" w:eastAsia="仿宋_GB2312" w:cs="Times New Roman"/>
          <w:sz w:val="32"/>
          <w:szCs w:val="32"/>
          <w:highlight w:val="none"/>
          <w:lang w:val="en-US" w:eastAsia="zh-CN"/>
        </w:rPr>
        <w:t>灾后恢复重建项目的实施，相关单位公务用车使用频率增加，导致公务用车的油费增加及相应的维护费也增加</w:t>
      </w:r>
      <w:r>
        <w:rPr>
          <w:rFonts w:hint="default" w:ascii="Times New Roman" w:hAnsi="Times New Roman" w:eastAsia="仿宋_GB2312" w:cs="Times New Roman"/>
          <w:sz w:val="32"/>
          <w:szCs w:val="32"/>
          <w:highlight w:val="none"/>
        </w:rPr>
        <w:t>。具体的单位有：</w:t>
      </w:r>
      <w:r>
        <w:rPr>
          <w:rFonts w:hint="default" w:ascii="Times New Roman" w:hAnsi="Times New Roman" w:eastAsia="仿宋_GB2312" w:cs="Times New Roman"/>
          <w:sz w:val="32"/>
          <w:szCs w:val="32"/>
          <w:highlight w:val="none"/>
          <w:lang w:val="en-US" w:eastAsia="zh-CN"/>
        </w:rPr>
        <w:t>漾濞彝族自治县公安局（本级）53.88万元。漾濞彝族自治县人民政府办公室23.90元。漾濞彝族自治县林业和草原局14.06万元。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国内接待人</w:t>
      </w:r>
      <w:r>
        <w:rPr>
          <w:rFonts w:hint="default" w:ascii="Times New Roman" w:hAnsi="Times New Roman" w:eastAsia="仿宋_GB2312" w:cs="Times New Roman"/>
          <w:sz w:val="32"/>
          <w:szCs w:val="32"/>
        </w:rPr>
        <w:t>均支出金额没有过高，都在中央八项规定要求标准范围内接待支出。</w:t>
      </w:r>
    </w:p>
    <w:p>
      <w:pPr>
        <w:spacing w:line="540" w:lineRule="exact"/>
        <w:ind w:firstLine="600" w:firstLineChars="200"/>
        <w:rPr>
          <w:rFonts w:ascii="Times New Roman" w:hAnsi="Times New Roman" w:eastAsia="仿宋_GB2312"/>
          <w:color w:val="auto"/>
          <w:sz w:val="30"/>
          <w:szCs w:val="30"/>
        </w:rPr>
      </w:pPr>
    </w:p>
    <w:p>
      <w:pPr>
        <w:spacing w:line="540" w:lineRule="exact"/>
        <w:ind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附件：1.漾濞县</w:t>
      </w:r>
      <w:r>
        <w:rPr>
          <w:rFonts w:hint="eastAsia" w:ascii="Times New Roman" w:hAnsi="Times New Roman" w:eastAsia="仿宋_GB2312"/>
          <w:color w:val="auto"/>
          <w:sz w:val="30"/>
          <w:szCs w:val="30"/>
          <w:lang w:val="en-US" w:eastAsia="zh-CN"/>
        </w:rPr>
        <w:t>2022</w:t>
      </w:r>
      <w:r>
        <w:rPr>
          <w:rFonts w:hint="eastAsia" w:ascii="Times New Roman" w:hAnsi="Times New Roman" w:eastAsia="仿宋_GB2312"/>
          <w:color w:val="auto"/>
          <w:sz w:val="30"/>
          <w:szCs w:val="30"/>
        </w:rPr>
        <w:t>年“三公经费”</w:t>
      </w:r>
      <w:r>
        <w:rPr>
          <w:rFonts w:ascii="Times New Roman" w:hAnsi="Times New Roman" w:eastAsia="仿宋_GB2312"/>
          <w:color w:val="auto"/>
          <w:sz w:val="30"/>
          <w:szCs w:val="30"/>
        </w:rPr>
        <w:t>决算数对比情况表</w:t>
      </w:r>
    </w:p>
    <w:p>
      <w:pPr>
        <w:numPr>
          <w:ilvl w:val="0"/>
          <w:numId w:val="0"/>
        </w:numPr>
        <w:spacing w:line="540" w:lineRule="exact"/>
        <w:ind w:firstLine="1500" w:firstLineChars="500"/>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2.</w:t>
      </w:r>
      <w:r>
        <w:rPr>
          <w:rFonts w:ascii="Times New Roman" w:hAnsi="Times New Roman" w:eastAsia="仿宋_GB2312"/>
          <w:color w:val="auto"/>
          <w:sz w:val="30"/>
          <w:szCs w:val="30"/>
        </w:rPr>
        <w:t>“三公”经费口径说明</w:t>
      </w:r>
    </w:p>
    <w:p>
      <w:pPr>
        <w:spacing w:line="540" w:lineRule="exact"/>
        <w:ind w:left="1050" w:leftChars="500"/>
        <w:rPr>
          <w:rFonts w:ascii="仿宋_GB2312" w:eastAsia="仿宋_GB2312"/>
          <w:bCs/>
          <w:sz w:val="30"/>
          <w:szCs w:val="30"/>
        </w:rPr>
      </w:pPr>
    </w:p>
    <w:p>
      <w:pPr>
        <w:spacing w:line="600" w:lineRule="exact"/>
        <w:rPr>
          <w:rFonts w:ascii="仿宋_GB2312" w:eastAsia="仿宋_GB2312"/>
          <w:bCs/>
          <w:sz w:val="30"/>
          <w:szCs w:val="30"/>
        </w:rPr>
      </w:pPr>
    </w:p>
    <w:p>
      <w:pPr>
        <w:pStyle w:val="2"/>
        <w:ind w:left="0" w:leftChars="0" w:firstLine="0" w:firstLineChars="0"/>
        <w:rPr>
          <w:rFonts w:hint="eastAsia" w:ascii="方正小标宋简体" w:hAnsi="黑体" w:eastAsia="方正小标宋简体" w:cs="黑体"/>
          <w:bCs/>
          <w:sz w:val="32"/>
          <w:szCs w:val="32"/>
        </w:rPr>
      </w:pPr>
    </w:p>
    <w:p>
      <w:pPr>
        <w:pStyle w:val="2"/>
        <w:rPr>
          <w:rFonts w:hint="eastAsia" w:ascii="方正小标宋简体" w:hAnsi="黑体" w:eastAsia="方正小标宋简体" w:cs="黑体"/>
          <w:bCs/>
          <w:sz w:val="32"/>
          <w:szCs w:val="32"/>
        </w:rPr>
      </w:pPr>
    </w:p>
    <w:p>
      <w:pPr>
        <w:jc w:val="center"/>
        <w:rPr>
          <w:rFonts w:hint="eastAsia" w:ascii="方正小标宋简体" w:hAnsi="黑体" w:eastAsia="方正小标宋简体" w:cs="黑体"/>
          <w:bCs/>
          <w:sz w:val="32"/>
          <w:szCs w:val="32"/>
        </w:rPr>
      </w:pPr>
      <w:r>
        <w:rPr>
          <w:rFonts w:hint="eastAsia" w:ascii="方正小标宋简体" w:hAnsi="黑体" w:eastAsia="方正小标宋简体" w:cs="黑体"/>
          <w:bCs/>
          <w:sz w:val="32"/>
          <w:szCs w:val="32"/>
        </w:rPr>
        <w:t>漾濞县</w:t>
      </w:r>
      <w:r>
        <w:rPr>
          <w:rFonts w:hint="eastAsia" w:ascii="方正小标宋简体" w:hAnsi="黑体" w:eastAsia="方正小标宋简体" w:cs="黑体"/>
          <w:bCs/>
          <w:sz w:val="32"/>
          <w:szCs w:val="32"/>
          <w:lang w:val="en-US" w:eastAsia="zh-CN"/>
        </w:rPr>
        <w:t>2022</w:t>
      </w:r>
      <w:r>
        <w:rPr>
          <w:rFonts w:hint="eastAsia" w:ascii="方正小标宋简体" w:hAnsi="黑体" w:eastAsia="方正小标宋简体" w:cs="黑体"/>
          <w:bCs/>
          <w:sz w:val="32"/>
          <w:szCs w:val="32"/>
        </w:rPr>
        <w:t>年“三公”经费决算数对比情况表</w:t>
      </w:r>
    </w:p>
    <w:tbl>
      <w:tblPr>
        <w:tblStyle w:val="5"/>
        <w:tblW w:w="8160" w:type="dxa"/>
        <w:tblInd w:w="93" w:type="dxa"/>
        <w:tblLayout w:type="fixed"/>
        <w:tblCellMar>
          <w:top w:w="0" w:type="dxa"/>
          <w:left w:w="108" w:type="dxa"/>
          <w:bottom w:w="0" w:type="dxa"/>
          <w:right w:w="108" w:type="dxa"/>
        </w:tblCellMar>
      </w:tblPr>
      <w:tblGrid>
        <w:gridCol w:w="3216"/>
        <w:gridCol w:w="984"/>
        <w:gridCol w:w="1320"/>
        <w:gridCol w:w="1320"/>
        <w:gridCol w:w="1320"/>
      </w:tblGrid>
      <w:tr>
        <w:tblPrEx>
          <w:tblCellMar>
            <w:top w:w="0" w:type="dxa"/>
            <w:left w:w="108" w:type="dxa"/>
            <w:bottom w:w="0" w:type="dxa"/>
            <w:right w:w="108" w:type="dxa"/>
          </w:tblCellMar>
        </w:tblPrEx>
        <w:trPr>
          <w:trHeight w:val="450" w:hRule="atLeast"/>
        </w:trPr>
        <w:tc>
          <w:tcPr>
            <w:tcW w:w="3216" w:type="dxa"/>
            <w:tcBorders>
              <w:top w:val="nil"/>
              <w:left w:val="nil"/>
              <w:bottom w:val="nil"/>
              <w:right w:val="nil"/>
            </w:tcBorders>
            <w:shd w:val="clear" w:color="auto" w:fill="auto"/>
            <w:vAlign w:val="bottom"/>
          </w:tcPr>
          <w:p>
            <w:pPr>
              <w:widowControl/>
              <w:jc w:val="left"/>
              <w:rPr>
                <w:rFonts w:hint="eastAsia" w:ascii="仿宋_GB2312" w:hAnsi="宋体" w:eastAsia="仿宋_GB2312" w:cs="Arial"/>
                <w:color w:val="000000"/>
                <w:kern w:val="0"/>
                <w:sz w:val="22"/>
                <w:szCs w:val="20"/>
              </w:rPr>
            </w:pPr>
          </w:p>
          <w:p>
            <w:pPr>
              <w:widowControl/>
              <w:jc w:val="left"/>
              <w:rPr>
                <w:rFonts w:hint="eastAsia" w:ascii="仿宋_GB2312" w:hAnsi="宋体" w:eastAsia="仿宋_GB2312" w:cs="Arial"/>
                <w:color w:val="000000"/>
                <w:kern w:val="0"/>
                <w:sz w:val="22"/>
                <w:szCs w:val="20"/>
              </w:rPr>
            </w:pPr>
          </w:p>
        </w:tc>
        <w:tc>
          <w:tcPr>
            <w:tcW w:w="984" w:type="dxa"/>
            <w:tcBorders>
              <w:top w:val="nil"/>
              <w:left w:val="nil"/>
              <w:bottom w:val="nil"/>
              <w:right w:val="nil"/>
            </w:tcBorders>
            <w:shd w:val="clear" w:color="auto" w:fill="auto"/>
            <w:vAlign w:val="center"/>
          </w:tcPr>
          <w:p>
            <w:pPr>
              <w:widowControl/>
              <w:jc w:val="right"/>
              <w:rPr>
                <w:rFonts w:hint="eastAsia" w:ascii="仿宋_GB2312" w:hAnsi="宋体" w:eastAsia="仿宋_GB2312" w:cs="Arial"/>
                <w:color w:val="000000"/>
                <w:kern w:val="0"/>
                <w:sz w:val="22"/>
                <w:szCs w:val="20"/>
              </w:rPr>
            </w:pPr>
          </w:p>
        </w:tc>
        <w:tc>
          <w:tcPr>
            <w:tcW w:w="1320" w:type="dxa"/>
            <w:tcBorders>
              <w:top w:val="nil"/>
              <w:left w:val="nil"/>
              <w:bottom w:val="nil"/>
              <w:right w:val="nil"/>
            </w:tcBorders>
            <w:shd w:val="clear" w:color="auto" w:fill="auto"/>
            <w:vAlign w:val="center"/>
          </w:tcPr>
          <w:p>
            <w:pPr>
              <w:widowControl/>
              <w:jc w:val="right"/>
              <w:rPr>
                <w:rFonts w:hint="eastAsia" w:ascii="仿宋_GB2312" w:hAnsi="宋体" w:eastAsia="仿宋_GB2312" w:cs="Arial"/>
                <w:color w:val="000000"/>
                <w:kern w:val="0"/>
                <w:sz w:val="22"/>
                <w:szCs w:val="20"/>
              </w:rPr>
            </w:pPr>
          </w:p>
        </w:tc>
        <w:tc>
          <w:tcPr>
            <w:tcW w:w="1320" w:type="dxa"/>
            <w:tcBorders>
              <w:top w:val="nil"/>
              <w:left w:val="nil"/>
              <w:bottom w:val="nil"/>
              <w:right w:val="nil"/>
            </w:tcBorders>
            <w:shd w:val="clear" w:color="auto" w:fill="auto"/>
            <w:vAlign w:val="center"/>
          </w:tcPr>
          <w:p>
            <w:pPr>
              <w:widowControl/>
              <w:jc w:val="right"/>
              <w:rPr>
                <w:rFonts w:hint="eastAsia" w:ascii="仿宋_GB2312" w:hAnsi="宋体" w:eastAsia="仿宋_GB2312" w:cs="Arial"/>
                <w:color w:val="000000"/>
                <w:kern w:val="0"/>
                <w:sz w:val="22"/>
                <w:szCs w:val="20"/>
              </w:rPr>
            </w:pPr>
          </w:p>
        </w:tc>
        <w:tc>
          <w:tcPr>
            <w:tcW w:w="1320" w:type="dxa"/>
            <w:tcBorders>
              <w:top w:val="nil"/>
              <w:left w:val="nil"/>
              <w:bottom w:val="nil"/>
              <w:right w:val="nil"/>
            </w:tcBorders>
            <w:shd w:val="clear" w:color="auto" w:fill="auto"/>
            <w:vAlign w:val="center"/>
          </w:tcPr>
          <w:p>
            <w:pPr>
              <w:widowControl/>
              <w:jc w:val="right"/>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单位：万元</w:t>
            </w:r>
          </w:p>
        </w:tc>
      </w:tr>
      <w:tr>
        <w:tblPrEx>
          <w:tblCellMar>
            <w:top w:w="0" w:type="dxa"/>
            <w:left w:w="108" w:type="dxa"/>
            <w:bottom w:w="0" w:type="dxa"/>
            <w:right w:w="108" w:type="dxa"/>
          </w:tblCellMar>
        </w:tblPrEx>
        <w:trPr>
          <w:trHeight w:val="615" w:hRule="atLeast"/>
        </w:trPr>
        <w:tc>
          <w:tcPr>
            <w:tcW w:w="32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项  目</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上年</w:t>
            </w:r>
          </w:p>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决算数</w:t>
            </w:r>
          </w:p>
        </w:tc>
        <w:tc>
          <w:tcPr>
            <w:tcW w:w="13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本年</w:t>
            </w:r>
          </w:p>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决算数</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较上年增减情况</w:t>
            </w:r>
          </w:p>
        </w:tc>
      </w:tr>
      <w:tr>
        <w:tblPrEx>
          <w:tblCellMar>
            <w:top w:w="0" w:type="dxa"/>
            <w:left w:w="108" w:type="dxa"/>
            <w:bottom w:w="0" w:type="dxa"/>
            <w:right w:w="108" w:type="dxa"/>
          </w:tblCellMar>
        </w:tblPrEx>
        <w:trPr>
          <w:trHeight w:val="450" w:hRule="atLeast"/>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Arial"/>
                <w:color w:val="000000"/>
                <w:kern w:val="0"/>
                <w:sz w:val="22"/>
                <w:szCs w:val="20"/>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Arial"/>
                <w:color w:val="000000"/>
                <w:kern w:val="0"/>
                <w:sz w:val="22"/>
                <w:szCs w:val="20"/>
              </w:rPr>
            </w:pPr>
          </w:p>
        </w:tc>
        <w:tc>
          <w:tcPr>
            <w:tcW w:w="13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Arial"/>
                <w:color w:val="000000"/>
                <w:kern w:val="0"/>
                <w:sz w:val="22"/>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增、减额</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增、减幅度</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合  计</w:t>
            </w:r>
          </w:p>
        </w:tc>
        <w:tc>
          <w:tcPr>
            <w:tcW w:w="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0"/>
                <w:szCs w:val="20"/>
                <w:u w:val="none"/>
                <w:lang w:val="en-US" w:eastAsia="zh-CN" w:bidi="ar"/>
              </w:rPr>
              <w:t>87</w:t>
            </w:r>
            <w:r>
              <w:rPr>
                <w:rFonts w:hint="eastAsia" w:ascii="宋体" w:hAnsi="宋体" w:cs="宋体"/>
                <w:i w:val="0"/>
                <w:color w:val="000000"/>
                <w:kern w:val="0"/>
                <w:sz w:val="20"/>
                <w:szCs w:val="20"/>
                <w:u w:val="none"/>
                <w:lang w:val="en-US" w:eastAsia="zh-CN" w:bidi="ar"/>
              </w:rPr>
              <w:t>5</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Arial" w:hAnsiTheme="minorEastAsia"/>
                <w:color w:val="000000"/>
                <w:kern w:val="0"/>
                <w:szCs w:val="18"/>
                <w:lang w:val="en-US" w:eastAsia="zh-CN"/>
              </w:rPr>
            </w:pPr>
            <w:r>
              <w:rPr>
                <w:rFonts w:hint="eastAsia" w:ascii="仿宋_GB2312" w:eastAsia="仿宋_GB2312" w:cs="Arial" w:hAnsiTheme="minorEastAsia"/>
                <w:color w:val="000000"/>
                <w:kern w:val="0"/>
                <w:szCs w:val="18"/>
                <w:lang w:val="en-US" w:eastAsia="zh-CN"/>
              </w:rPr>
              <w:t>685</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Arial" w:hAnsiTheme="minorEastAsia"/>
                <w:color w:val="000000"/>
                <w:kern w:val="0"/>
                <w:szCs w:val="18"/>
                <w:lang w:val="en-US" w:eastAsia="zh-CN"/>
              </w:rPr>
            </w:pPr>
            <w:r>
              <w:rPr>
                <w:rFonts w:hint="eastAsia" w:ascii="仿宋_GB2312" w:eastAsia="仿宋_GB2312" w:cs="Arial" w:hAnsiTheme="minorEastAsia"/>
                <w:color w:val="000000"/>
                <w:kern w:val="0"/>
                <w:szCs w:val="18"/>
                <w:lang w:val="en-US" w:eastAsia="zh-CN"/>
              </w:rPr>
              <w:t>-190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cs="Arial" w:hAnsiTheme="minorEastAsia"/>
                <w:color w:val="000000"/>
                <w:kern w:val="0"/>
                <w:szCs w:val="18"/>
              </w:rPr>
            </w:pPr>
            <w:r>
              <w:rPr>
                <w:rFonts w:hint="eastAsia" w:ascii="仿宋_GB2312" w:eastAsia="仿宋_GB2312" w:cs="Arial" w:hAnsiTheme="minorEastAsia"/>
                <w:color w:val="000000"/>
                <w:kern w:val="0"/>
                <w:szCs w:val="18"/>
                <w:lang w:val="en-US" w:eastAsia="zh-CN"/>
              </w:rPr>
              <w:t>-21.72</w:t>
            </w:r>
            <w:r>
              <w:rPr>
                <w:rFonts w:hint="eastAsia" w:ascii="仿宋_GB2312" w:eastAsia="仿宋_GB2312" w:cs="Arial" w:hAnsiTheme="minorEastAsia"/>
                <w:color w:val="000000"/>
                <w:kern w:val="0"/>
                <w:szCs w:val="18"/>
              </w:rPr>
              <w:t>%</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 xml:space="preserve">  1、因公出国（境）费</w:t>
            </w:r>
          </w:p>
        </w:tc>
        <w:tc>
          <w:tcPr>
            <w:tcW w:w="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p>
        </w:tc>
        <w:tc>
          <w:tcPr>
            <w:tcW w:w="1320" w:type="dxa"/>
            <w:tcBorders>
              <w:top w:val="nil"/>
              <w:left w:val="nil"/>
              <w:bottom w:val="single" w:color="auto" w:sz="4" w:space="0"/>
              <w:right w:val="single" w:color="auto" w:sz="4" w:space="0"/>
            </w:tcBorders>
            <w:shd w:val="clear" w:color="auto" w:fill="auto"/>
            <w:vAlign w:val="center"/>
          </w:tcPr>
          <w:p>
            <w:pPr>
              <w:jc w:val="both"/>
              <w:rPr>
                <w:rFonts w:hint="eastAsia" w:ascii="仿宋_GB2312" w:eastAsia="仿宋_GB2312" w:cs="Arial" w:hAnsiTheme="minorEastAsia"/>
                <w:color w:val="000000"/>
                <w:kern w:val="0"/>
                <w:szCs w:val="18"/>
              </w:rPr>
            </w:pPr>
          </w:p>
        </w:tc>
        <w:tc>
          <w:tcPr>
            <w:tcW w:w="1320" w:type="dxa"/>
            <w:tcBorders>
              <w:top w:val="nil"/>
              <w:left w:val="nil"/>
              <w:bottom w:val="single" w:color="auto" w:sz="4" w:space="0"/>
              <w:right w:val="single" w:color="auto" w:sz="4" w:space="0"/>
            </w:tcBorders>
            <w:shd w:val="clear" w:color="auto" w:fill="auto"/>
            <w:vAlign w:val="center"/>
          </w:tcPr>
          <w:p>
            <w:pPr>
              <w:widowControl/>
              <w:ind w:firstLine="210" w:firstLineChars="100"/>
              <w:jc w:val="both"/>
              <w:rPr>
                <w:rFonts w:hint="eastAsia" w:ascii="仿宋_GB2312" w:eastAsia="仿宋_GB2312" w:cs="Arial" w:hAnsiTheme="minorEastAsia"/>
                <w:color w:val="000000"/>
                <w:kern w:val="0"/>
                <w:szCs w:val="18"/>
              </w:rPr>
            </w:pP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 xml:space="preserve">  2、公务接待费</w:t>
            </w:r>
          </w:p>
        </w:tc>
        <w:tc>
          <w:tcPr>
            <w:tcW w:w="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0"/>
                <w:szCs w:val="20"/>
                <w:u w:val="none"/>
                <w:lang w:val="en-US" w:eastAsia="zh-CN" w:bidi="ar"/>
              </w:rPr>
              <w:t>382</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eastAsia="仿宋_GB2312" w:cs="Arial" w:hAnsiTheme="minorEastAsia"/>
                <w:color w:val="000000"/>
                <w:kern w:val="0"/>
                <w:szCs w:val="18"/>
                <w:lang w:val="en-US"/>
              </w:rPr>
            </w:pPr>
            <w:r>
              <w:rPr>
                <w:rFonts w:hint="eastAsia" w:ascii="宋体" w:hAnsi="宋体" w:eastAsia="宋体" w:cs="宋体"/>
                <w:i w:val="0"/>
                <w:color w:val="000000"/>
                <w:kern w:val="0"/>
                <w:sz w:val="22"/>
                <w:szCs w:val="22"/>
                <w:u w:val="none"/>
                <w:lang w:val="en-US" w:eastAsia="zh-CN" w:bidi="ar"/>
              </w:rPr>
              <w:t>12</w:t>
            </w:r>
            <w:r>
              <w:rPr>
                <w:rFonts w:hint="eastAsia" w:ascii="宋体" w:hAnsi="宋体" w:cs="宋体"/>
                <w:i w:val="0"/>
                <w:color w:val="000000"/>
                <w:kern w:val="0"/>
                <w:sz w:val="22"/>
                <w:szCs w:val="22"/>
                <w:u w:val="none"/>
                <w:lang w:val="en-US" w:eastAsia="zh-CN" w:bidi="ar"/>
              </w:rPr>
              <w:t>4</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Arial" w:hAnsiTheme="minorEastAsia"/>
                <w:color w:val="000000"/>
                <w:kern w:val="0"/>
                <w:szCs w:val="18"/>
                <w:lang w:val="en-US" w:eastAsia="zh-CN"/>
              </w:rPr>
            </w:pPr>
            <w:r>
              <w:rPr>
                <w:rFonts w:hint="eastAsia" w:ascii="仿宋_GB2312" w:eastAsia="仿宋_GB2312" w:cs="Arial" w:hAnsiTheme="minorEastAsia"/>
                <w:color w:val="000000"/>
                <w:kern w:val="0"/>
                <w:szCs w:val="18"/>
                <w:lang w:val="en-US" w:eastAsia="zh-CN"/>
              </w:rPr>
              <w:t>-258</w:t>
            </w:r>
          </w:p>
        </w:tc>
        <w:tc>
          <w:tcPr>
            <w:tcW w:w="13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2"/>
                <w:szCs w:val="22"/>
                <w:u w:val="none"/>
                <w:lang w:val="en-US" w:eastAsia="zh-CN" w:bidi="ar"/>
              </w:rPr>
              <w:t>-67.54%</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 xml:space="preserve">  3、公务用车费</w:t>
            </w:r>
          </w:p>
        </w:tc>
        <w:tc>
          <w:tcPr>
            <w:tcW w:w="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0"/>
                <w:szCs w:val="20"/>
                <w:u w:val="none"/>
                <w:lang w:val="en-US" w:eastAsia="zh-CN" w:bidi="ar"/>
              </w:rPr>
              <w:t>49</w:t>
            </w:r>
            <w:r>
              <w:rPr>
                <w:rFonts w:hint="eastAsia" w:ascii="宋体" w:hAnsi="宋体" w:cs="宋体"/>
                <w:i w:val="0"/>
                <w:color w:val="000000"/>
                <w:kern w:val="0"/>
                <w:sz w:val="20"/>
                <w:szCs w:val="20"/>
                <w:u w:val="none"/>
                <w:lang w:val="en-US" w:eastAsia="zh-CN" w:bidi="ar"/>
              </w:rPr>
              <w:t>3</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_GB2312" w:eastAsia="仿宋_GB2312" w:cs="Arial" w:hAnsiTheme="minorEastAsia"/>
                <w:color w:val="000000"/>
                <w:kern w:val="0"/>
                <w:szCs w:val="18"/>
                <w:lang w:val="en-US"/>
              </w:rPr>
            </w:pPr>
            <w:r>
              <w:rPr>
                <w:rFonts w:hint="eastAsia" w:ascii="宋体" w:hAnsi="宋体" w:eastAsia="宋体" w:cs="宋体"/>
                <w:i w:val="0"/>
                <w:color w:val="000000"/>
                <w:kern w:val="0"/>
                <w:sz w:val="22"/>
                <w:szCs w:val="22"/>
                <w:u w:val="none"/>
                <w:lang w:val="en-US" w:eastAsia="zh-CN" w:bidi="ar"/>
              </w:rPr>
              <w:t>561</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Arial" w:hAnsiTheme="minorEastAsia"/>
                <w:color w:val="000000"/>
                <w:kern w:val="0"/>
                <w:szCs w:val="18"/>
                <w:lang w:val="en-US" w:eastAsia="zh-CN"/>
              </w:rPr>
            </w:pPr>
            <w:r>
              <w:rPr>
                <w:rFonts w:hint="eastAsia" w:ascii="仿宋_GB2312" w:eastAsia="仿宋_GB2312" w:cs="Arial" w:hAnsiTheme="minorEastAsia"/>
                <w:color w:val="000000"/>
                <w:kern w:val="0"/>
                <w:szCs w:val="18"/>
                <w:lang w:val="en-US" w:eastAsia="zh-CN"/>
              </w:rPr>
              <w:t>68</w:t>
            </w:r>
          </w:p>
        </w:tc>
        <w:tc>
          <w:tcPr>
            <w:tcW w:w="13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Arial" w:hAnsiTheme="minorEastAsia"/>
                <w:color w:val="000000"/>
                <w:kern w:val="0"/>
                <w:szCs w:val="18"/>
                <w:lang w:val="en-US" w:eastAsia="zh-CN"/>
              </w:rPr>
            </w:pPr>
            <w:r>
              <w:rPr>
                <w:rFonts w:hint="eastAsia" w:ascii="宋体" w:hAnsi="宋体" w:eastAsia="宋体" w:cs="宋体"/>
                <w:i w:val="0"/>
                <w:color w:val="000000"/>
                <w:kern w:val="0"/>
                <w:sz w:val="22"/>
                <w:szCs w:val="22"/>
                <w:u w:val="none"/>
                <w:lang w:val="en-US" w:eastAsia="zh-CN" w:bidi="ar"/>
              </w:rPr>
              <w:t>13.79%</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 xml:space="preserve">    其中：（1）公务用车购置</w:t>
            </w:r>
          </w:p>
        </w:tc>
        <w:tc>
          <w:tcPr>
            <w:tcW w:w="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1</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仿宋_GB2312" w:eastAsia="仿宋_GB2312" w:cs="Arial" w:hAnsiTheme="minorEastAsia"/>
                <w:color w:val="000000"/>
                <w:kern w:val="0"/>
                <w:szCs w:val="18"/>
                <w:lang w:val="en-US"/>
              </w:rPr>
            </w:pPr>
            <w:r>
              <w:rPr>
                <w:rFonts w:hint="eastAsia" w:ascii="宋体" w:hAnsi="宋体" w:eastAsia="宋体" w:cs="宋体"/>
                <w:i w:val="0"/>
                <w:color w:val="000000"/>
                <w:kern w:val="0"/>
                <w:sz w:val="22"/>
                <w:szCs w:val="22"/>
                <w:u w:val="none"/>
                <w:lang w:val="en-US" w:eastAsia="zh-CN" w:bidi="ar"/>
              </w:rPr>
              <w:t>11</w:t>
            </w:r>
            <w:r>
              <w:rPr>
                <w:rFonts w:hint="eastAsia" w:ascii="宋体" w:hAnsi="宋体" w:cs="宋体"/>
                <w:i w:val="0"/>
                <w:color w:val="000000"/>
                <w:kern w:val="0"/>
                <w:sz w:val="22"/>
                <w:szCs w:val="22"/>
                <w:u w:val="none"/>
                <w:lang w:val="en-US" w:eastAsia="zh-CN" w:bidi="ar"/>
              </w:rPr>
              <w:t>8</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Arial" w:hAnsiTheme="minorEastAsia"/>
                <w:color w:val="000000"/>
                <w:kern w:val="0"/>
                <w:szCs w:val="18"/>
                <w:lang w:val="en-US" w:eastAsia="zh-CN"/>
              </w:rPr>
            </w:pPr>
            <w:r>
              <w:rPr>
                <w:rFonts w:hint="eastAsia" w:ascii="仿宋_GB2312" w:eastAsia="仿宋_GB2312" w:cs="Arial" w:hAnsiTheme="minorEastAsia"/>
                <w:color w:val="000000"/>
                <w:kern w:val="0"/>
                <w:szCs w:val="18"/>
                <w:lang w:val="en-US" w:eastAsia="zh-CN"/>
              </w:rPr>
              <w:t>47</w:t>
            </w:r>
          </w:p>
        </w:tc>
        <w:tc>
          <w:tcPr>
            <w:tcW w:w="13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2"/>
                <w:szCs w:val="22"/>
                <w:u w:val="none"/>
                <w:lang w:val="en-US" w:eastAsia="zh-CN" w:bidi="ar"/>
              </w:rPr>
              <w:t>66.20%</w:t>
            </w:r>
          </w:p>
        </w:tc>
      </w:tr>
      <w:tr>
        <w:tblPrEx>
          <w:tblCellMar>
            <w:top w:w="0" w:type="dxa"/>
            <w:left w:w="108" w:type="dxa"/>
            <w:bottom w:w="0" w:type="dxa"/>
            <w:right w:w="108" w:type="dxa"/>
          </w:tblCellMar>
        </w:tblPrEx>
        <w:trPr>
          <w:trHeight w:val="585"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ind w:left="1160" w:leftChars="500" w:hanging="110" w:hangingChars="50"/>
              <w:jc w:val="left"/>
              <w:rPr>
                <w:rFonts w:hint="eastAsia" w:ascii="仿宋_GB2312" w:hAnsi="宋体" w:eastAsia="仿宋_GB2312" w:cs="Arial"/>
                <w:color w:val="000000"/>
                <w:kern w:val="0"/>
                <w:sz w:val="22"/>
                <w:szCs w:val="20"/>
              </w:rPr>
            </w:pPr>
            <w:r>
              <w:rPr>
                <w:rFonts w:hint="eastAsia" w:ascii="仿宋_GB2312" w:hAnsi="宋体" w:eastAsia="仿宋_GB2312" w:cs="Arial"/>
                <w:color w:val="000000"/>
                <w:kern w:val="0"/>
                <w:sz w:val="22"/>
                <w:szCs w:val="20"/>
              </w:rPr>
              <w:t>（2）公务用车运行维护费</w:t>
            </w:r>
          </w:p>
        </w:tc>
        <w:tc>
          <w:tcPr>
            <w:tcW w:w="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0"/>
                <w:szCs w:val="20"/>
                <w:u w:val="none"/>
                <w:lang w:val="en-US" w:eastAsia="zh-CN" w:bidi="ar"/>
              </w:rPr>
              <w:t>422</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2"/>
                <w:szCs w:val="22"/>
                <w:u w:val="none"/>
                <w:lang w:val="en-US" w:eastAsia="zh-CN" w:bidi="ar"/>
              </w:rPr>
              <w:t>443</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420" w:firstLineChars="200"/>
              <w:jc w:val="both"/>
              <w:textAlignment w:val="center"/>
              <w:rPr>
                <w:rFonts w:hint="default" w:ascii="仿宋_GB2312" w:eastAsia="仿宋_GB2312" w:cs="Arial" w:hAnsiTheme="minorEastAsia"/>
                <w:color w:val="000000"/>
                <w:kern w:val="0"/>
                <w:szCs w:val="18"/>
                <w:lang w:val="en-US" w:eastAsia="zh-CN"/>
              </w:rPr>
            </w:pPr>
            <w:r>
              <w:rPr>
                <w:rFonts w:hint="eastAsia" w:ascii="仿宋_GB2312" w:eastAsia="仿宋_GB2312" w:cs="Arial" w:hAnsiTheme="minorEastAsia"/>
                <w:color w:val="000000"/>
                <w:kern w:val="0"/>
                <w:szCs w:val="18"/>
                <w:lang w:val="en-US" w:eastAsia="zh-CN"/>
              </w:rPr>
              <w:t>21</w:t>
            </w:r>
          </w:p>
        </w:tc>
        <w:tc>
          <w:tcPr>
            <w:tcW w:w="13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Arial" w:hAnsiTheme="minorEastAsia"/>
                <w:color w:val="000000"/>
                <w:kern w:val="0"/>
                <w:szCs w:val="18"/>
              </w:rPr>
            </w:pPr>
            <w:r>
              <w:rPr>
                <w:rFonts w:hint="eastAsia" w:ascii="宋体" w:hAnsi="宋体" w:eastAsia="宋体" w:cs="宋体"/>
                <w:i w:val="0"/>
                <w:color w:val="000000"/>
                <w:kern w:val="0"/>
                <w:sz w:val="22"/>
                <w:szCs w:val="22"/>
                <w:u w:val="none"/>
                <w:lang w:val="en-US" w:eastAsia="zh-CN" w:bidi="ar"/>
              </w:rPr>
              <w:t>4.98%</w:t>
            </w:r>
          </w:p>
        </w:tc>
      </w:tr>
    </w:tbl>
    <w:p>
      <w:pPr>
        <w:rPr>
          <w:rFonts w:hint="eastAsia" w:ascii="仿宋_GB2312" w:eastAsia="仿宋_GB2312"/>
          <w:sz w:val="36"/>
          <w:szCs w:val="30"/>
        </w:rPr>
      </w:pPr>
    </w:p>
    <w:p>
      <w:pPr>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pStyle w:val="2"/>
        <w:rPr>
          <w:rFonts w:ascii="仿宋_GB2312" w:eastAsia="仿宋_GB2312"/>
          <w:sz w:val="30"/>
          <w:szCs w:val="30"/>
        </w:rPr>
      </w:pPr>
    </w:p>
    <w:p>
      <w:pPr>
        <w:ind w:firstLine="2560" w:firstLineChars="800"/>
        <w:jc w:val="both"/>
        <w:rPr>
          <w:rFonts w:ascii="黑体" w:hAnsi="黑体" w:eastAsia="黑体" w:cs="黑体"/>
          <w:bCs/>
          <w:sz w:val="32"/>
          <w:szCs w:val="32"/>
        </w:rPr>
      </w:pPr>
      <w:r>
        <w:rPr>
          <w:rFonts w:hint="eastAsia" w:ascii="黑体" w:hAnsi="黑体" w:eastAsia="黑体" w:cs="黑体"/>
          <w:bCs/>
          <w:sz w:val="32"/>
          <w:szCs w:val="32"/>
        </w:rPr>
        <w:t>“三公”经费口径说明</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r>
        <w:rPr>
          <w:rFonts w:hint="eastAsia" w:ascii="仿宋_GB2312" w:eastAsia="仿宋_GB2312"/>
          <w:sz w:val="30"/>
          <w:szCs w:val="30"/>
        </w:rPr>
        <w:t>按照党中央、国务院有关文件及部门预算管理有关规定，“三公”经费包括因公出国（境）费、公务用车购置及运行维护费和公务接</w:t>
      </w:r>
      <w:r>
        <w:rPr>
          <w:rFonts w:hint="eastAsia" w:ascii="仿宋_GB2312" w:eastAsia="仿宋_GB2312"/>
          <w:sz w:val="30"/>
          <w:szCs w:val="30"/>
          <w:lang w:eastAsia="zh-CN"/>
        </w:rPr>
        <w:t>待</w:t>
      </w:r>
      <w:r>
        <w:rPr>
          <w:rFonts w:hint="eastAsia" w:ascii="仿宋_GB2312" w:eastAsia="仿宋_GB2312"/>
          <w:sz w:val="30"/>
          <w:szCs w:val="30"/>
        </w:rPr>
        <w:t>费。</w:t>
      </w:r>
    </w:p>
    <w:p>
      <w:pPr>
        <w:numPr>
          <w:ilvl w:val="0"/>
          <w:numId w:val="1"/>
        </w:numPr>
        <w:ind w:firstLine="600" w:firstLineChars="200"/>
        <w:rPr>
          <w:rFonts w:ascii="仿宋_GB2312" w:eastAsia="仿宋_GB2312"/>
          <w:sz w:val="30"/>
          <w:szCs w:val="30"/>
        </w:rPr>
      </w:pPr>
      <w:r>
        <w:rPr>
          <w:rFonts w:hint="eastAsia" w:ascii="仿宋_GB2312" w:eastAsia="仿宋_GB2312"/>
          <w:sz w:val="30"/>
          <w:szCs w:val="30"/>
        </w:rPr>
        <w:t xml:space="preserve">因公出国（境）费，指单位公务出国（境）的国际旅费、国外城市间交通费、住宿费、伙食费、培训费、公杂费等支出。  </w:t>
      </w:r>
    </w:p>
    <w:p>
      <w:pPr>
        <w:numPr>
          <w:ilvl w:val="0"/>
          <w:numId w:val="1"/>
        </w:numPr>
        <w:ind w:firstLine="600" w:firstLineChars="200"/>
        <w:rPr>
          <w:rFonts w:ascii="仿宋_GB2312" w:eastAsia="仿宋_GB2312"/>
          <w:sz w:val="30"/>
          <w:szCs w:val="30"/>
        </w:rPr>
      </w:pPr>
      <w:r>
        <w:rPr>
          <w:rFonts w:hint="eastAsia" w:ascii="仿宋_GB2312" w:eastAsia="仿宋_GB2312"/>
          <w:sz w:val="30"/>
          <w:szCs w:val="30"/>
        </w:rPr>
        <w:t xml:space="preserve">公务用车购置费，指公务用车购置支出（含车辆购置税、拍照费）；公务用车运行维护费，指单位按规定保留的公务用车燃料费、维修费、过路过桥费、保险费、安全奖励费用等支出。 </w:t>
      </w:r>
    </w:p>
    <w:p>
      <w:pPr>
        <w:numPr>
          <w:ilvl w:val="0"/>
          <w:numId w:val="1"/>
        </w:numPr>
        <w:ind w:firstLine="600" w:firstLineChars="200"/>
        <w:rPr>
          <w:rFonts w:ascii="仿宋_GB2312" w:eastAsia="仿宋_GB2312"/>
          <w:sz w:val="30"/>
          <w:szCs w:val="30"/>
        </w:rPr>
      </w:pPr>
      <w:r>
        <w:rPr>
          <w:rFonts w:hint="eastAsia" w:ascii="仿宋_GB2312" w:eastAsia="仿宋_GB2312"/>
          <w:sz w:val="30"/>
          <w:szCs w:val="30"/>
        </w:rPr>
        <w:t>公务</w:t>
      </w:r>
      <w:r>
        <w:rPr>
          <w:rFonts w:hint="eastAsia" w:ascii="仿宋_GB2312" w:eastAsia="仿宋_GB2312"/>
          <w:sz w:val="30"/>
          <w:szCs w:val="30"/>
          <w:lang w:eastAsia="zh-CN"/>
        </w:rPr>
        <w:t>接待</w:t>
      </w:r>
      <w:bookmarkStart w:id="0" w:name="_GoBack"/>
      <w:bookmarkEnd w:id="0"/>
      <w:r>
        <w:rPr>
          <w:rFonts w:hint="eastAsia" w:ascii="仿宋_GB2312" w:eastAsia="仿宋_GB2312"/>
          <w:sz w:val="30"/>
          <w:szCs w:val="30"/>
        </w:rPr>
        <w:t>费，指单位按规定开支的各类公务接待（含外宾接待）费用。</w:t>
      </w:r>
    </w:p>
    <w:p>
      <w:pPr>
        <w:ind w:firstLine="600" w:firstLineChars="200"/>
        <w:rPr>
          <w:rFonts w:ascii="仿宋_GB2312" w:eastAsia="仿宋_GB2312"/>
          <w:sz w:val="30"/>
          <w:szCs w:val="30"/>
        </w:rPr>
      </w:pPr>
      <w:r>
        <w:rPr>
          <w:rFonts w:hint="eastAsia" w:ascii="仿宋_GB2312" w:eastAsia="仿宋_GB2312"/>
          <w:sz w:val="30"/>
          <w:szCs w:val="30"/>
        </w:rPr>
        <w:t>二、“三公”经费决算数：指各级各部门（含下属单位）用一般公共预算财政拨款（含上年结转结余和当年预算）安排的因公出国（境）费、公务用车购置及运行维护费和公务接待费支出数。</w:t>
      </w:r>
    </w:p>
    <w:p>
      <w:pPr>
        <w:spacing w:line="600" w:lineRule="exact"/>
        <w:ind w:left="1050" w:leftChars="500"/>
        <w:rPr>
          <w:rFonts w:ascii="仿宋_GB2312" w:eastAsia="仿宋_GB2312"/>
          <w:bCs/>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1CC24"/>
    <w:multiLevelType w:val="singleLevel"/>
    <w:tmpl w:val="5D01CC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6935"/>
    <w:rsid w:val="001138FD"/>
    <w:rsid w:val="003C3B4B"/>
    <w:rsid w:val="00530D62"/>
    <w:rsid w:val="00561E02"/>
    <w:rsid w:val="006E1960"/>
    <w:rsid w:val="00935F7C"/>
    <w:rsid w:val="009A145B"/>
    <w:rsid w:val="00A71BBC"/>
    <w:rsid w:val="00C105CF"/>
    <w:rsid w:val="00E13153"/>
    <w:rsid w:val="00EB27E5"/>
    <w:rsid w:val="00F069D0"/>
    <w:rsid w:val="00FF2C68"/>
    <w:rsid w:val="02CB07DB"/>
    <w:rsid w:val="25F93E08"/>
    <w:rsid w:val="3383622E"/>
    <w:rsid w:val="358C652E"/>
    <w:rsid w:val="39755785"/>
    <w:rsid w:val="3CF36204"/>
    <w:rsid w:val="43F1549F"/>
    <w:rsid w:val="4F306935"/>
    <w:rsid w:val="555F4F73"/>
    <w:rsid w:val="55AA3A5A"/>
    <w:rsid w:val="561A36E0"/>
    <w:rsid w:val="5D395619"/>
    <w:rsid w:val="5DD10D8A"/>
    <w:rsid w:val="62807DA0"/>
    <w:rsid w:val="68776372"/>
    <w:rsid w:val="EFF78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200" w:firstLineChars="200"/>
    </w:pPr>
    <w:rPr>
      <w:rFonts w:ascii="宋体" w:hAnsi="宋体"/>
      <w:sz w:val="28"/>
      <w:szCs w:val="2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186</Words>
  <Characters>1062</Characters>
  <Lines>8</Lines>
  <Paragraphs>2</Paragraphs>
  <TotalTime>4</TotalTime>
  <ScaleCrop>false</ScaleCrop>
  <LinksUpToDate>false</LinksUpToDate>
  <CharactersWithSpaces>1246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2019-06-13T11:33:00Z</dcterms:created>
  <dc:creator>王艺涵</dc:creator>
  <cp:lastModifiedBy>user</cp:lastModifiedBy>
  <cp:lastPrinted>2020-06-15T14:30:00Z</cp:lastPrinted>
  <dcterms:modified xsi:type="dcterms:W3CDTF">2023-02-22T16:16:35Z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