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0" w:right="2" w:firstLine="0"/>
        <w:jc w:val="center"/>
      </w:pPr>
      <w:bookmarkStart w:id="0" w:name="_GoBack"/>
      <w:r>
        <w:rPr>
          <w:rFonts w:hint="eastAsia" w:ascii="微软雅黑" w:hAnsi="微软雅黑" w:eastAsia="微软雅黑" w:cs="微软雅黑"/>
          <w:sz w:val="44"/>
          <w:lang w:eastAsia="zh-CN"/>
        </w:rPr>
        <w:t>漾濞县</w:t>
      </w:r>
      <w:r>
        <w:rPr>
          <w:rFonts w:ascii="微软雅黑" w:hAnsi="微软雅黑" w:eastAsia="微软雅黑" w:cs="微软雅黑"/>
          <w:sz w:val="44"/>
        </w:rPr>
        <w:t xml:space="preserve"> 2022 年政府决算公开目录 </w:t>
      </w:r>
    </w:p>
    <w:p>
      <w:pPr>
        <w:spacing w:after="387" w:line="259" w:lineRule="auto"/>
        <w:ind w:left="0" w:firstLine="0"/>
      </w:pPr>
      <w:r>
        <w:rPr>
          <w:sz w:val="32"/>
        </w:rPr>
        <w:t xml:space="preserve"> </w:t>
      </w:r>
    </w:p>
    <w:bookmarkEnd w:id="0"/>
    <w:p>
      <w:pPr>
        <w:pStyle w:val="2"/>
        <w:numPr>
          <w:ilvl w:val="0"/>
          <w:numId w:val="1"/>
        </w:numPr>
        <w:ind w:left="-5"/>
      </w:pPr>
      <w:r>
        <w:t xml:space="preserve">文字材料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  <w:lang w:eastAsia="zh-CN"/>
        </w:rPr>
        <w:t>漾濞县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县本级</w:t>
      </w:r>
      <w:r>
        <w:rPr>
          <w:rFonts w:hint="eastAsia" w:ascii="仿宋_GB2312" w:eastAsia="仿宋_GB2312"/>
          <w:sz w:val="32"/>
          <w:szCs w:val="32"/>
        </w:rPr>
        <w:t xml:space="preserve">财政决算的报告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、漾濞县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 xml:space="preserve">本级决算草案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、漾濞县</w:t>
      </w:r>
      <w:r>
        <w:rPr>
          <w:rFonts w:hint="eastAsia" w:ascii="仿宋_GB2312" w:eastAsia="仿宋_GB2312"/>
          <w:sz w:val="32"/>
          <w:szCs w:val="32"/>
        </w:rPr>
        <w:t xml:space="preserve">2022年转移支付安排情况的说明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、漾濞县</w:t>
      </w:r>
      <w:r>
        <w:rPr>
          <w:rFonts w:hint="eastAsia" w:ascii="仿宋_GB2312" w:eastAsia="仿宋_GB2312"/>
          <w:sz w:val="32"/>
          <w:szCs w:val="32"/>
        </w:rPr>
        <w:t xml:space="preserve">2022年预算执行变动情况的说明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、漾濞县</w:t>
      </w:r>
      <w:r>
        <w:rPr>
          <w:rFonts w:hint="eastAsia" w:ascii="仿宋_GB2312" w:eastAsia="仿宋_GB2312"/>
          <w:sz w:val="32"/>
          <w:szCs w:val="32"/>
        </w:rPr>
        <w:t xml:space="preserve">2022年举借政府债务情况的说明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、漾濞县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 xml:space="preserve">本级预算绩效工作开展情况的说明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7、漾濞县</w:t>
      </w:r>
      <w:r>
        <w:rPr>
          <w:rFonts w:hint="eastAsia" w:ascii="仿宋_GB2312" w:eastAsia="仿宋_GB2312"/>
          <w:sz w:val="32"/>
          <w:szCs w:val="32"/>
        </w:rPr>
        <w:t xml:space="preserve">2022年“三公”经费决算情况说明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8、漾濞县</w:t>
      </w:r>
      <w:r>
        <w:rPr>
          <w:rFonts w:hint="eastAsia" w:ascii="仿宋_GB2312" w:eastAsia="仿宋_GB2312"/>
          <w:sz w:val="32"/>
          <w:szCs w:val="32"/>
        </w:rPr>
        <w:t>2022年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 xml:space="preserve">本级“三公”经费决算情况说明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9、漾濞县</w:t>
      </w:r>
      <w:r>
        <w:rPr>
          <w:rFonts w:hint="eastAsia" w:ascii="仿宋_GB2312" w:eastAsia="仿宋_GB2312"/>
          <w:sz w:val="32"/>
          <w:szCs w:val="32"/>
        </w:rPr>
        <w:t>2022年重大政策和重点项目绩效执行结果情</w:t>
      </w:r>
      <w:r>
        <w:rPr>
          <w:rFonts w:hint="eastAsia"/>
          <w:sz w:val="32"/>
          <w:szCs w:val="32"/>
          <w:lang w:eastAsia="zh-CN"/>
        </w:rPr>
        <w:t>况</w:t>
      </w:r>
      <w:r>
        <w:rPr>
          <w:rFonts w:hint="eastAsia" w:ascii="仿宋_GB2312" w:eastAsia="仿宋_GB2312"/>
          <w:sz w:val="32"/>
          <w:szCs w:val="32"/>
        </w:rPr>
        <w:t xml:space="preserve">说明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60" w:hanging="560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ind w:left="-5"/>
      </w:pPr>
      <w:r>
        <w:t xml:space="preserve">二、相关表格 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1-2022年漾濞彝族自治县一般公共预算收入决算表</w:t>
      </w:r>
    </w:p>
    <w:p>
      <w:pPr>
        <w:ind w:left="-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2-2022年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漾濞彝族自治县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一般公共预算支出决算表 </w:t>
      </w:r>
    </w:p>
    <w:p>
      <w:pPr>
        <w:ind w:left="-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3-2022年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漾濞彝族自治县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一般公共预算支出决算明细表 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4-2022年漾濞彝族自治县税收返还和转移支付收入决算表</w:t>
      </w:r>
    </w:p>
    <w:p>
      <w:pPr>
        <w:ind w:left="314" w:leftChars="-5" w:hanging="329" w:hangingChars="103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5-2022年漾濞彝族自治县一般公共预算基本支出（经济分类）决算表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6-2022年漾濞彝族自治县政府性基金预算收入决算表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7-2022年漾濞彝族自治县政府性基金预算支出决算表</w:t>
      </w:r>
    </w:p>
    <w:p>
      <w:pPr>
        <w:ind w:left="314" w:leftChars="-5" w:hanging="329" w:hangingChars="103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-2022年漾濞彝族自治县对下政府性基金转移支付支出决算表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-2022年漾濞彝族自治县国有资本经营预算收入决算表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0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-2022年漾濞彝族自治县国有资本经营预算支出决算表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-2022年漾濞彝族自治县社会保险基金收入决算表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-2022年漾濞彝族自治县社会保险基金支出决算表</w:t>
      </w:r>
    </w:p>
    <w:p>
      <w:pPr>
        <w:ind w:left="-5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-2022年漾濞彝族自治县地方政府债务限额及余额决算表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-2022年漾濞彝族自治县地方政府债务发行及还本付息表</w:t>
      </w: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  <w:r>
        <w:rPr>
          <w:rFonts w:ascii="等线" w:hAnsi="等线" w:eastAsia="等线" w:cs="等线"/>
          <w:sz w:val="18"/>
        </w:rPr>
        <w:tab/>
      </w: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-15" w:firstLine="0"/>
        <w:rPr>
          <w:rFonts w:ascii="等线" w:hAnsi="等线" w:eastAsia="等线" w:cs="等线"/>
          <w:sz w:val="18"/>
        </w:rPr>
      </w:pPr>
    </w:p>
    <w:p>
      <w:pPr>
        <w:tabs>
          <w:tab w:val="center" w:pos="4153"/>
        </w:tabs>
        <w:spacing w:after="340" w:line="259" w:lineRule="auto"/>
        <w:ind w:left="0" w:leftChars="0" w:firstLine="4320" w:firstLineChars="1800"/>
      </w:pPr>
      <w:r>
        <w:rPr>
          <w:rFonts w:ascii="宋体" w:hAnsi="宋体" w:eastAsia="宋体" w:cs="宋体"/>
          <w:sz w:val="24"/>
        </w:rPr>
        <w:t xml:space="preserve">2 </w:t>
      </w:r>
    </w:p>
    <w:sectPr>
      <w:pgSz w:w="11906" w:h="16838"/>
      <w:pgMar w:top="1476" w:right="1801" w:bottom="966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C3DB27"/>
    <w:multiLevelType w:val="singleLevel"/>
    <w:tmpl w:val="B6C3DB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96"/>
    <w:rsid w:val="005278BC"/>
    <w:rsid w:val="00A94196"/>
    <w:rsid w:val="05B060E7"/>
    <w:rsid w:val="2FC27053"/>
    <w:rsid w:val="3E595324"/>
    <w:rsid w:val="56B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3" w:line="265" w:lineRule="auto"/>
      <w:ind w:left="10" w:hanging="10"/>
    </w:pPr>
    <w:rPr>
      <w:rFonts w:ascii="仿宋_GB2312" w:hAnsi="仿宋_GB2312" w:eastAsia="仿宋_GB2312" w:cs="仿宋_GB2312"/>
      <w:color w:val="000000"/>
      <w:kern w:val="2"/>
      <w:sz w:val="30"/>
      <w:szCs w:val="22"/>
      <w:lang w:val="en-US" w:eastAsia="zh-CN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after="91" w:line="259" w:lineRule="auto"/>
      <w:ind w:left="10" w:hanging="10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link w:val="2"/>
    <w:uiPriority w:val="0"/>
    <w:rPr>
      <w:rFonts w:ascii="黑体" w:hAnsi="黑体" w:eastAsia="黑体" w:cs="黑体"/>
      <w:color w:val="000000"/>
      <w:sz w:val="32"/>
    </w:rPr>
  </w:style>
  <w:style w:type="character" w:customStyle="1" w:styleId="8">
    <w:name w:val="页眉 字符"/>
    <w:basedOn w:val="6"/>
    <w:link w:val="4"/>
    <w:uiPriority w:val="99"/>
    <w:rPr>
      <w:rFonts w:ascii="仿宋_GB2312" w:hAnsi="仿宋_GB2312" w:eastAsia="仿宋_GB2312" w:cs="仿宋_GB2312"/>
      <w:color w:val="000000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仿宋_GB2312" w:hAnsi="仿宋_GB2312" w:eastAsia="仿宋_GB2312" w:cs="仿宋_GB2312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965</Characters>
  <Lines>8</Lines>
  <Paragraphs>2</Paragraphs>
  <TotalTime>4</TotalTime>
  <ScaleCrop>false</ScaleCrop>
  <LinksUpToDate>false</LinksUpToDate>
  <CharactersWithSpaces>1132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2023-08-11T03:41:00Z</dcterms:created>
  <dc:creator>高仕娥</dc:creator>
  <cp:lastModifiedBy>Administrator</cp:lastModifiedBy>
  <dcterms:modified xsi:type="dcterms:W3CDTF">2023-08-11T07:09:42Z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