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漾濞县2019年债务管理工作情况</w:t>
      </w:r>
    </w:p>
    <w:p>
      <w:pPr>
        <w:spacing w:line="52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一、政府债务基本情况</w:t>
      </w:r>
    </w:p>
    <w:p>
      <w:pPr>
        <w:spacing w:line="52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（一)政府债务限额管理情况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年，州下达并报请县第十</w:t>
      </w: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届人大常委会第十</w:t>
      </w: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次会议审议通过，核定我县地方政府债务限额为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55300</w:t>
      </w:r>
      <w:r>
        <w:rPr>
          <w:rFonts w:hint="eastAsia" w:ascii="仿宋_GB2312" w:eastAsia="仿宋_GB2312"/>
          <w:sz w:val="32"/>
          <w:szCs w:val="32"/>
        </w:rPr>
        <w:t>万元，其中：一般债务限额47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00万元，专项债务限额7700万元。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楷体_GB2312" w:eastAsia="楷体_GB2312"/>
          <w:sz w:val="32"/>
          <w:szCs w:val="32"/>
        </w:rPr>
        <w:t>二）地方政府债务余额情况</w:t>
      </w:r>
    </w:p>
    <w:p>
      <w:pPr>
        <w:spacing w:line="540" w:lineRule="exact"/>
        <w:ind w:firstLine="640" w:firstLineChars="200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月末，政府性债务余额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51117.01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政府债务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47554.51万元（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一般债务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40467.95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万元，专项债务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7086.56</w:t>
      </w:r>
      <w:r>
        <w:rPr>
          <w:rFonts w:hint="eastAsia" w:ascii="仿宋_GB2312" w:hAnsi="仿宋_GB2312" w:eastAsia="仿宋_GB2312" w:cs="仿宋_GB2312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）、政府或有债务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3562.50万元。</w:t>
      </w:r>
    </w:p>
    <w:p>
      <w:pPr>
        <w:spacing w:line="52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（三）省转贷我县地方政府债券情况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截止20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末</w:t>
      </w:r>
      <w:r>
        <w:rPr>
          <w:rFonts w:hint="eastAsia" w:ascii="仿宋_GB2312" w:eastAsia="仿宋_GB2312"/>
          <w:sz w:val="32"/>
          <w:szCs w:val="32"/>
        </w:rPr>
        <w:t>,漾濞县接受上级转贷地方政府债券资金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38170</w:t>
      </w:r>
      <w:r>
        <w:rPr>
          <w:rFonts w:hint="eastAsia" w:ascii="仿宋_GB2312" w:eastAsia="仿宋_GB2312"/>
          <w:sz w:val="32"/>
          <w:szCs w:val="32"/>
        </w:rPr>
        <w:t>万元，其中：置换债券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17470</w:t>
      </w:r>
      <w:r>
        <w:rPr>
          <w:rFonts w:hint="eastAsia" w:ascii="仿宋_GB2312" w:eastAsia="仿宋_GB2312"/>
          <w:sz w:val="32"/>
          <w:szCs w:val="32"/>
        </w:rPr>
        <w:t>万元，新增</w:t>
      </w:r>
      <w:r>
        <w:rPr>
          <w:rFonts w:hint="eastAsia" w:ascii="仿宋_GB2312" w:eastAsia="仿宋_GB2312"/>
          <w:sz w:val="32"/>
          <w:szCs w:val="32"/>
          <w:lang w:eastAsia="zh-CN"/>
        </w:rPr>
        <w:t>一般</w:t>
      </w:r>
      <w:r>
        <w:rPr>
          <w:rFonts w:hint="eastAsia" w:ascii="仿宋_GB2312" w:eastAsia="仿宋_GB2312"/>
          <w:sz w:val="32"/>
          <w:szCs w:val="32"/>
        </w:rPr>
        <w:t>债券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9900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，专项债券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6700万元，再融资债券4100万元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2019年，当年无新增省转贷我县地方政府债券。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（四）地方政府债券还本付息情况。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列入年2019年初预算的地方政府一般债券利息及兑付服务费1046万元，实际支付地方政府一般债券利息及兑付服务费1057万元。利用在融资债券归还到期的地方政府一般债券本金2500万元。</w:t>
      </w:r>
    </w:p>
    <w:p>
      <w:pPr>
        <w:spacing w:line="520" w:lineRule="exact"/>
        <w:ind w:firstLine="640" w:firstLineChars="200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二、隐性债务情况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截止2019年12月末，</w:t>
      </w:r>
      <w:r>
        <w:rPr>
          <w:rFonts w:hint="eastAsia" w:ascii="仿宋_GB2312" w:hAnsi="仿宋_GB2312" w:eastAsia="仿宋_GB2312" w:cs="仿宋_GB2312"/>
          <w:color w:val="000000"/>
          <w:spacing w:val="6"/>
          <w:kern w:val="0"/>
          <w:sz w:val="32"/>
          <w:szCs w:val="32"/>
        </w:rPr>
        <w:t>2019年隐性债务余额为71608.52万元，其中：政府承诺偿还隐性债务44037.29万元，政府提供担保隐性债务6600万元，政府支出责任隐性债务20971.23万元。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2019隐性债务化债目标任务数为28500万元，我县实际完成化债28590.19万元。完成化债目标任务。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仿宋_GB2312"/>
          <w:sz w:val="32"/>
          <w:szCs w:val="32"/>
        </w:rPr>
        <w:t>债务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管理</w:t>
      </w:r>
      <w:r>
        <w:rPr>
          <w:rFonts w:hint="eastAsia" w:ascii="黑体" w:hAnsi="黑体" w:eastAsia="黑体" w:cs="仿宋_GB2312"/>
          <w:sz w:val="32"/>
          <w:szCs w:val="32"/>
        </w:rPr>
        <w:t>情况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（一）完善制度，健全债务管理机制。坚持债务管理制度化，加强组织领导，健全管理机制。我县已成立了政府性债务管理领导小组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加强对债务工作的统一领导。同时，我县印发了《漾濞县政府性债务风险应急处置预案》，坚持快速响应、分类施策、各司其职、协同联动、稳妥处置，牢牢守住不发生区域性、系统性风险的底线，切实防范和化解财政金融风险，维护经济安全和社会稳定，促进全县经济社会持续健康发展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  <w:lang w:eastAsia="zh-CN"/>
        </w:rPr>
        <w:t>积极</w:t>
      </w:r>
      <w:r>
        <w:rPr>
          <w:rFonts w:hint="eastAsia" w:ascii="仿宋_GB2312" w:eastAsia="仿宋_GB2312"/>
          <w:sz w:val="32"/>
          <w:szCs w:val="32"/>
        </w:rPr>
        <w:t>化解债务风险。对全县政府债务风险</w:t>
      </w:r>
      <w:r>
        <w:rPr>
          <w:rFonts w:hint="eastAsia" w:ascii="仿宋_GB2312" w:eastAsia="仿宋_GB2312"/>
          <w:sz w:val="32"/>
          <w:szCs w:val="32"/>
          <w:lang w:eastAsia="zh-CN"/>
        </w:rPr>
        <w:t>严格管控</w:t>
      </w:r>
      <w:r>
        <w:rPr>
          <w:rFonts w:hint="eastAsia" w:ascii="仿宋_GB2312" w:eastAsia="仿宋_GB2312"/>
          <w:sz w:val="32"/>
          <w:szCs w:val="32"/>
        </w:rPr>
        <w:t>，落实风险化解措施，确保不发生系统性风险。明确举债融资行为的政策边界和负面清单，坚决制止违法违规举债融资行为。积极化解债务风险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按照省财政厅提出的化解债务风险方案，督促落实有关部门的主体责任，确保限期化解风险。</w:t>
      </w:r>
    </w:p>
    <w:p>
      <w:pPr>
        <w:spacing w:line="54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（三）严控底线，杜绝违法违规举债。根据《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中华人民共和国预算法</w:t>
      </w:r>
      <w:r>
        <w:rPr>
          <w:rFonts w:hint="eastAsia" w:ascii="仿宋_GB2312" w:eastAsia="仿宋_GB2312"/>
          <w:sz w:val="32"/>
          <w:szCs w:val="32"/>
        </w:rPr>
        <w:t>》、《关于坚决制止地方以政府购买服务名义违法违规融资的通知》（财预〔2017〕87号） 、《关于进一步规范地方政府举债融资行为的通知》（财预〔2017〕50号）的规定，</w:t>
      </w:r>
      <w:r>
        <w:rPr>
          <w:rFonts w:hint="eastAsia" w:ascii="仿宋_GB2312" w:eastAsia="仿宋_GB2312"/>
          <w:sz w:val="32"/>
          <w:szCs w:val="32"/>
          <w:lang w:eastAsia="zh-CN"/>
        </w:rPr>
        <w:t>全县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2019年</w:t>
      </w:r>
      <w:r>
        <w:rPr>
          <w:rFonts w:hint="eastAsia" w:ascii="仿宋_GB2312" w:eastAsia="仿宋_GB2312"/>
          <w:sz w:val="32"/>
          <w:szCs w:val="32"/>
        </w:rPr>
        <w:t>政府举债</w:t>
      </w:r>
      <w:r>
        <w:rPr>
          <w:rFonts w:hint="eastAsia" w:ascii="仿宋_GB2312" w:eastAsia="仿宋_GB2312"/>
          <w:sz w:val="32"/>
          <w:szCs w:val="32"/>
          <w:lang w:eastAsia="zh-CN"/>
        </w:rPr>
        <w:t>控制在人大批复的债务限额内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无违法违规举债。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94728"/>
    <w:rsid w:val="036E42D3"/>
    <w:rsid w:val="145C453E"/>
    <w:rsid w:val="2F994728"/>
    <w:rsid w:val="8FFFF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大理州漾濞县党政机关单位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2021-05-28T14:59:00Z</dcterms:created>
  <dc:creator>马力</dc:creator>
  <cp:lastModifiedBy>user</cp:lastModifiedBy>
  <dcterms:modified xsi:type="dcterms:W3CDTF">2024-02-20T10:02:52Z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